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202 vom 6. März 2014</w:t>
      </w:r>
    </w:p>
    <w:p>
      <w:r>
        <w:t>VD Tribunal cantonal, 2014-03-06, FR</w:t>
      </w:r>
    </w:p>
    <w:p>
      <w:r>
        <w:rPr>
          <w:b/>
        </w:rPr>
        <w:t xml:space="preserve">Quelle: </w:t>
      </w:r>
      <w:r>
        <w:t>https://mcp.opencaselaw.ch/entscheid/vd_findinfo_D_cision___2014___202</w:t>
      </w:r>
    </w:p>
    <w:p>
      <w:r>
        <w:t>FR: VD_FINDINFO Décision / 2014 / 202 du 6 mars 2014</w:t>
      </w:r>
    </w:p>
    <w:p>
      <w:r>
        <w:t>IT: VD_FINDINFO Décision / 2014 / 202 del 6 marzo 2014</w:t>
      </w:r>
    </w:p>
    <w:p>
      <w:pPr>
        <w:pStyle w:val="Heading2"/>
      </w:pPr>
      <w:r>
        <w:t>Regeste</w:t>
      </w:r>
    </w:p>
    <w:p>
      <w:r>
        <w:t>DÉFENSE D'OFFICE, DÉNUEMENT | 132 al. 1 let. a ch. 1 CPP (CH), 132 al. 2 CPP (CH), 132 al. 3 CPP (CH)</w:t>
      </w:r>
    </w:p>
    <w:p>
      <w:pPr>
        <w:pStyle w:val="Heading2"/>
      </w:pPr>
      <w:r>
        <w:t>Volltext</w:t>
      </w:r>
    </w:p>
    <w:p>
      <w:r>
        <w:t>Vaud Tribunal cantonal Chambre des recours pénale 06.03.2014 Décision / 2014 / 202</w:t>
      </w:r>
    </w:p>
    <w:p>
      <w:r>
        <w:t>DÉFENSE D'OFFICE, DÉNUEMENT | 132 al. 1 let. a ch. 1 CPP (CH), 132 al. 2 CPP (CH), 132 al. 3 CPP (CH)</w:t>
      </w:r>
    </w:p>
    <w:p>
      <w:r>
        <w:t>TRIBUNAL CANTONAL 180 PE13.007037-NKS CHAMBRE DES RECOURS PENALE __________________________________________ Séance du 6 mars 2014 __________________ Présidence de               M. A B R E C H T, président Juges :              MM. Meylan et              Maillard Greffier :              M. Ritter ***** Art. 132 CPP La Chambre des recours pénale du Tribunal cantonal prend séance à huis clos pour statuer sur le recours interjeté le 28 février 2014 par K.________ contre l’ordonnance de refus de désignation d’un défenseur d’office rendue le 17 février 2014 par le Procureur de l’arrondissement de l’Est vaudois dans la cause n° PE13.007037-NKS dirigée contre elle. Elle considère: E n  f a i t : A. a) Le 6 juillet 2013, M.________ a déposé plainte pénale contre son épouse K.________ pour diffamation et dénonciation calomnieuse (P. 9). Il lui a reproché d’avoir, le 9 avril 2013, déposé plainte contre lui pour violation d’une obligation d’entretien alors qu’elle savait qu’il avait payé les pensions prétendument en souffrance (P. 4 et 5; P. 10/4 à l’identique), ainsi que de l’atteindre dans son honneur par ses démarches judiciaires et par des lettres adressées aux autorités judiciaires. Une enquête a été ouverte sur la base des faits incriminés. b) Le 8 janvier 2014, la prévenue a requis la désignation d’un défenseur d’office en la personne de Me Cécile Maud Tirelli, déjà consultée. Invoquant son indigence, elle a produit diverses pièces relatives à sa situation financière (P. 27, avec annexes non numérotées). B. Par ordonnance du 17 février 2014, le Procureur de l’arrondissement de l’Est vaudois a rejeté la requête de désignation d’un défenseur d’office à K.________ (I) et a dit que les frais suivaient le sort de la cause (III). Le Procureur a retenu que la prévenue ne se trouvait pas dans un cas de défense obligatoire, qu’elle n’était pas indigente et que les faits qui lui étaient reprochés étaient de peu de gravité au vu de la peine susceptible d’être prononcée. C. Le 28 février 2014, K.________ a recouru contre l’ordonnance du 30 septembre 2013, en concluant, avec suite de frais et dépens, à sa réforme en ce sens qu’un défenseur d’office lui soit désigné en la personne de Me Cécile Maud Tirelli. E n  d r o i t : 1. 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2. a)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En cas de défense obligatoire au sens de l’art. 130 CPP, la direction de la procédure pourvoit à ce que le prévenu soit assisté aussitôt d’un défenseur (art. 131 CPP), en ordonnant le cas échéant une défense d’office (cf. art. 132 al. 1 let. a CPP).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 Jeanneret [éd.], Commentaire Romand, Code de procédure pénale suisse, Bâle 2011, n. 55 ad art. 132 CPP). Cette disposition codifie la jurisprudence rendue par le Tribunal fédéral avant l'entrée en vigueur du Code de procédure pénale suisse en matière de défense d'office (Harari/Aliberti, op. cit., nn. 60 ss ad art. 132 CPP, p. 558).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p. 554).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il ressort du budget présenté par la prévenue au Procureur (P. 27 avec annexes et 32/2) que l’intéressée perçoit des indemnités de chômage de quelque 3'200 fr. par mois, soit en particulier 3'412 fr. 15, 3'350 fr. 20, 3’150 fr. 55, 3'450 fr. 65 et 3'150 fr. 55 de juillet à novembre 2013 respectivement. Elle reçoit en plus une contribution mensuelle d’entretien de son époux à hauteur de 2'450 fr., décidée par le juge de la famille, ce qui porte son revenu total déterminant à 5'650 francs. De son propre aveu, les charges mensuelles de la recourante s’élèvent à 3'883 fr. (recours, pp. 3 s.). Outre le minimum vital, par 1'200 fr., ce montant englobe notamment deux loyers, soit pour un appartement et un studio, de surcroît dans deux communes différentes. La nécessité de cette double charge n’apparaît pas étayée outre mesure. Dans l’hypothèse qui lui est la plus favorable, la prévenue dispose ainsi de 1'767 fr. par mois. Malgré le découvert de l’ordre de 3’000 fr. de son compte courant (recours, p. 4), ce solde disponible suffit à rémunérer un avocat, de sorte que la condition de l’indigence doit être niée. c) Au surplus, les infractions dont a à répondre la prévenue sont celles de diffamation et de dénonciation calomnieuse, réprimées respectivement par les art. 173 et 303 CP (Code pénal; RS 311.0). Au vu du peu de gravité des faits incriminés, la prévenue n’encourt à l’évidence pas une peine privative de liberté de plus de quatre mois (qui n’excéderait pas un an), ni une peine pécuniaire de plus de 120 jours-amende ou un travail d’intérêt général de plus de 480 heures, même dans l’hypothèse d’un concours d’infractions au sens de l’art. 49 al. 1 CP. Le cas est donc de peu de gravité au sens légal. Il s’agit ainsi d’un "cas bagatelle" au regard de la jurisprudence fédérale. Enfin, il n’apparaît pas que l’affaire présente, sur le plan des faits ou du droit, des difficultés que la prévenue seule ne pourrait pas surmonter. Bien que l’intéressée soit hispanophone, ses diverses correspondances figurant au dossier témoignent en effet de sa compréhension adéquate de l’objet du litige du droit de la famille (cf. notamment P. 10/15 et 16). Dès lors, rien ne permet de considérer que l’objet de la procédure pénale dirigée contre elle, relative au même complexe de faits, pourrait lui échapper, donc qu’elle ne serait pas en mesure de faire valoir ses intérêts sans l’assistance d’un défenseur. Le fait que le plaignant soit assisté n’y change rien. 3. 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550 fr. (art. 20 al. 1 TFJP), seront mis à la charge de la recourante, qui succombe (art. 428 al. 1 CPP). Par ces motifs, la Chambre des recours pénale, statuant à huis clos, prononce : I. Le recours est rejeté. II. L’ordonnance du 17 février 2014 est confirmée. III. Les frais du présent arrêt, par 550 fr. (cinq cent cinquante francs), sont mis à la charge de K.________. IV. L’arrêt est exécutoire. Le président :               Le greffier : Du L'arrêt qui précède, dont la rédaction a été approuvée à huis clos, est notifié, par l'envoi d'une copie complète, à : - Me Cécile Maud Tirelli, avocate (pour K.________), - Ministère public central; et communiqué à : - Me Irène Wettstein Martin, avocate (pour M.________),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