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197 vom 4. März 2014</w:t>
      </w:r>
    </w:p>
    <w:p>
      <w:r>
        <w:t>VD Tribunal cantonal, 2014-03-04, FR</w:t>
      </w:r>
    </w:p>
    <w:p>
      <w:r>
        <w:rPr>
          <w:b/>
        </w:rPr>
        <w:t xml:space="preserve">Quelle: </w:t>
      </w:r>
      <w:r>
        <w:t>https://mcp.opencaselaw.ch/entscheid/vd_findinfo_D_cision___2014___197</w:t>
      </w:r>
    </w:p>
    <w:p>
      <w:r>
        <w:t>FR: VD_FINDINFO Décision / 2014 / 197 du 4 mars 2014</w:t>
      </w:r>
    </w:p>
    <w:p>
      <w:r>
        <w:t>IT: VD_FINDINFO Décision / 2014 / 197 del 4 marzo 2014</w:t>
      </w:r>
    </w:p>
    <w:p>
      <w:pPr>
        <w:pStyle w:val="Heading2"/>
      </w:pPr>
      <w:r>
        <w:t>Regeste</w:t>
      </w:r>
    </w:p>
    <w:p>
      <w:r>
        <w:t>RETRAIT{VOIE DE DROIT}, RADIATION DU RÔLE | 386 al. 2 let. b CPP (CH)</w:t>
      </w:r>
    </w:p>
    <w:p>
      <w:pPr>
        <w:pStyle w:val="Heading2"/>
      </w:pPr>
      <w:r>
        <w:t>Erwägungen</w:t>
      </w:r>
    </w:p>
    <w:p>
      <w:r>
        <w:rPr>
          <w:b/>
        </w:rPr>
        <w:t>E. 1</w:t>
      </w:r>
    </w:p>
    <w:p>
      <w:r>
        <w:t>Par avis du 27 février 2014, le Président de la Chambre des recours pénale a imparti à W.________ un délai au 19 mars 2014 pour effectuer un dépôt de 440 fr. à titre de sûretés. Par écriture du 3 mars 2014, W.________ a déclaré retirer le recours qu’il avait interjeté le 22 février 2014 contre l’ordonnance de non-entrée en matière rendue le 4 février 2014 par le Ministère public de l’arrondissement de Lausanne. Il sied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devraient en principe être mis à la charge de W.________. Compte tenu des circonstances exposées par le recourant, ils seront exceptionnellement laissés à la charge de l’Etat. Par ces motifs, la Chambre des recours pénale, statuant à huis clos, prononce : I. Il est pris acte du retrait du recours. II. La cause est rayée du rôle. III. Les frais d'arrêt, par 220 fr. (deux cent vingt francs), sont laissés à la charge de l’Etat. IV. Le présent arrêt est exécutoire. Le président :               La greffière : Du L'arrêt qui précède, dont la rédaction a été approuvée à huis clos, est notifié, par l'envoi d'une copie complète, à : - M.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