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184 vom 27. Januar 2014</w:t>
      </w:r>
    </w:p>
    <w:p>
      <w:r>
        <w:t>VD Tribunal cantonal, 2014-01-27, FR</w:t>
      </w:r>
    </w:p>
    <w:p>
      <w:r>
        <w:rPr>
          <w:b/>
        </w:rPr>
        <w:t xml:space="preserve">Quelle: </w:t>
      </w:r>
      <w:r>
        <w:t>https://mcp.opencaselaw.ch/entscheid/vd_findinfo_D_cision___2014___184</w:t>
      </w:r>
    </w:p>
    <w:p>
      <w:r>
        <w:t>FR: VD_FINDINFO Décision / 2014 / 184 du 27 janvier 2014</w:t>
      </w:r>
    </w:p>
    <w:p>
      <w:r>
        <w:t>IT: VD_FINDINFO Décision / 2014 / 184 del 27 gennaio 2014</w:t>
      </w:r>
    </w:p>
    <w:p>
      <w:pPr>
        <w:pStyle w:val="Heading2"/>
      </w:pPr>
      <w:r>
        <w:t>Regeste</w:t>
      </w:r>
    </w:p>
    <w:p>
      <w:r>
        <w:t>OPPOSITION TARDIVE, ADMISSION DE LA DEMANDE, DÉLAI, DÉLAI LÉGAL | 354 CPP (CH), 393 al. 1 let. b CPP (CH), 91 CPP (CH)</w:t>
      </w:r>
    </w:p>
    <w:p>
      <w:pPr>
        <w:pStyle w:val="Heading2"/>
      </w:pPr>
      <w:r>
        <w:t>Erwägungen</w:t>
      </w:r>
    </w:p>
    <w:p>
      <w:r>
        <w:rPr>
          <w:b/>
        </w:rPr>
        <w:t>E. 1</w:t>
      </w:r>
    </w:p>
    <w:p>
      <w:r>
        <w:t>a) 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 Kuhn/ Jeanneret [éd.], Commentaire romand, Code de procédure pénale suisse, Bâle 2011, n. 5 ad art. 356 CPP; Riklin, in : Niggli/Heer/Wiprächtiger [éd.], Basler Kommentar, Schweizerische Strafprozessordnung, Jugendstrafprozessordnung, Bâle 2011, n. 2 ad art. 356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interjeté en temps utile devant l’autorité compétente et satisfaisant aux conditions de forme posées par l’art. 385 al. 1 CPP, le recours est recevable.</w:t>
      </w:r>
    </w:p>
    <w:p>
      <w:r>
        <w:rPr>
          <w:b/>
        </w:rPr>
        <w:t>E. 2</w:t>
      </w:r>
    </w:p>
    <w:p>
      <w:r>
        <w:t>Le recourant fait grief au premier juge d’avoir retenu à tort que son opposition a été formée le 23 octobre 2013. Il soutient avoir déposé sa déclaration d’opposition à la réception du Ministère public de Lausanne le 23 août 2013. a) Selon l’art. 354 CPP, le prévenu peut former opposition contre l’ordonnance pénale devant le ministère public, par écrit et dans les dix jours (al. 1 let. a). Si aucune opposition n’est valablement formée, l’ordonnance pénale est assimilée à un jugement entré en force (al. 3). Aux termes de l’art. 91 CPP,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 b) En l’espèce, le premier juge avait au dossier une déclaration d’opposition du 23 août 2013 transmise par fax le 23 octobre 2013 (P. 11). Par ailleurs, dans son avis du 25 octobre 2013, le Ministère public a indiqué n’avoir jamais reçu le pli du 23 août 2013, si ce n’est une copie par fax le 23 octobre 2013 (P. 12). Or, dans le cadre de la procédure de recours, le recourant a produit à deux reprises une lettre datée du 23 août 2013 portant un timbre de réception du Ministère public à cette même date (P. 14 et 17). Dans ces conditions, la déclaration d’opposition, qui a été déposée en temps utile, paraît recevable, sous réserve d’un faux. C’est donc à tort que le premier juge a déclaré irrecevable l’opposition du prévenu du 23 août 2013.</w:t>
      </w:r>
    </w:p>
    <w:p>
      <w:r>
        <w:rPr>
          <w:b/>
        </w:rPr>
        <w:t>E. 3</w:t>
      </w:r>
    </w:p>
    <w:p>
      <w:r>
        <w:t>En définitive, le recours doit être admis, le prononcé du 15 novembre 2013 annulé et le dossier renvoyé au Ministère public pour qu’il procède selon l’art. 355 CPP. Les frais de la procédure de recours, constitués en l’espèce du seul émolument d'arrêt (art. 422 al. 1 CPP), par 550 fr. (art. 20 al. 1 TFJP [tarif des frais judiciaires pénaux; RSV 312.03.1]), seront laissés à la charge de l’Etat (art. 428 al. 4 CPP). Par ces motifs, la Chambre des recours pénale, statuant à huis clos, prononce : I. Le recours est admis. II. Le prononcé du 15 novembre 2013 est annulé et le dossier est renvoyé à la Procureure cantonale Strada pour la suite de la procédure. III. Les frais de la procédure de recours, par 550 fr. (cinq cent cinquante francs), sont laissés à la charge de l’Etat. IV. Le présent arrêt est exécutoire. Le président :               La greffière : Du L'arrêt qui précède, dont la rédaction a été approuvée à huis clos, est notifié, par l'envoi d'une copie complète, à : - M. A.________, - Ministère public central, et communiqué à : ‑ Mme la Procureure cantonale Strada,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