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170 vom 30. Januar 2014</w:t>
      </w:r>
    </w:p>
    <w:p>
      <w:r>
        <w:t>VD Tribunal cantonal, 2014-01-30, FR</w:t>
      </w:r>
    </w:p>
    <w:p>
      <w:r>
        <w:rPr>
          <w:b/>
        </w:rPr>
        <w:t xml:space="preserve">Quelle: </w:t>
      </w:r>
      <w:r>
        <w:t>https://mcp.opencaselaw.ch/entscheid/vd_findinfo_D_cision___2014___170</w:t>
      </w:r>
    </w:p>
    <w:p>
      <w:r>
        <w:t>FR: VD_FINDINFO Décision / 2014 / 170 du 30 janvier 2014</w:t>
      </w:r>
    </w:p>
    <w:p>
      <w:r>
        <w:t>IT: VD_FINDINFO Décision / 2014 / 170 del 30 gennaio 2014</w:t>
      </w:r>
    </w:p>
    <w:p>
      <w:pPr>
        <w:pStyle w:val="Heading2"/>
      </w:pPr>
      <w:r>
        <w:t>Regeste</w:t>
      </w:r>
    </w:p>
    <w:p>
      <w:r>
        <w:t>NON-LIEU, EXEMPTION DE PEINE, LÉSÉ | 115 al. 1 CPP (CH), 319 CPP (CH)</w:t>
      </w:r>
    </w:p>
    <w:p>
      <w:pPr>
        <w:pStyle w:val="Heading2"/>
      </w:pPr>
      <w:r>
        <w:t>Erwägungen</w:t>
      </w:r>
    </w:p>
    <w:p>
      <w:r>
        <w:rPr>
          <w:b/>
        </w:rPr>
        <w:t>E. 1</w:t>
      </w:r>
    </w:p>
    <w:p>
      <w:r>
        <w:t>let. a CPP de la part de "toute partie qui a un intérêt juridiquement protégé à [leur] annulation ou à [leur] modification" (art. 382 al. 1 CPP).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classement, respectivement une ordonnance de suspension est ainsi subordonnée à la condition qu'ils soient directement touchés par l'infraction et puissent faire valoir un intérêt juridiquement protégé à l'annulation de la décision (TF 1B_489/2011 du 24 janvier 2012 c. 2.1). L’art. 304 CP n’ayant pas pour finalité de protéger les intérêts de particuliers – à la différence, notamment, de l’infraction de dénonciation calomnieuse, réprimée par l’art. 303 CP –, le recourant ne peut donc prétendre à la qualité de lésé pour ce qui est de l’infraction en question, dont il n’est dès lors que le dénonciateur. Il n’a ainsi pas la qualité pour contester le classement de la procédure pénale dans cette mesure. Le recours est dès lors irrecevable sur ce point.</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w:t>
      </w:r>
    </w:p>
    <w:p>
      <w:r>
        <w:rPr>
          <w:b/>
        </w:rPr>
        <w:t>E. 3</w:t>
      </w:r>
    </w:p>
    <w:p>
      <w:r>
        <w:t>En l’espèce, le recourant argue de faux la signature apposée sur le document bancaire relatif au compte de libre passage de la prévoyance professionnelle de la prévenue. Le faux dans les titres est réprimé par l’art. 251 CP (Code pénal; RS 311.0). La prévenue conteste avoir imité la signature du recourant. Les moyens libératoires invoqués n’ont de sens qu’à l’aune de l’art. 5 al. 2 LFLP (Loi sur le libre passage; RS 831.42), qui dispose que, si l'assuré est marié ou lié par un partenariat enregistré, le paiement en espèces ne peut intervenir qu'avec le consentement écrit de son conjoint ou de son partenaire. Une expertise graphologique (suggérée par le recourant) permettrait certes d’établir si la signature litigieuse a été contrefaite ou non. Cela étant, si la conclusion devait être affirmative, elle ne permettrait pas pour autant d’identifier l’auteur du faux. Selon la prévenue, sa mère aurait réussi à convaincre son beau-fils de co-signer le document bancaire idoine permettant de solder, à tout le moins de débiter le compte de libre passage, dès lors qu’elle lui aurait remis un document présenté comme muni de la signature de l’intéressé. Ces moyens ne peuvent être infirmés, dès lors que la mère de la prévenue est décédée sans avoir été entendue et que les faits incriminés n’ont eu aucun autre témoin. L’intervention d’un tiers, le cas échéant de la défunte, ne saurait donc être exclue. Pour le reste, même s’il devait être tenu pour avéré que la signature incriminée serait contrefaite, aucune mesure d’instruction complémentaire ne permettrait d’étayer à satisfaction de droit que l’intimée serait l’auteur du faux.</w:t>
      </w:r>
    </w:p>
    <w:p>
      <w:r>
        <w:rPr>
          <w:b/>
        </w:rPr>
        <w:t>E. 4</w:t>
      </w:r>
    </w:p>
    <w:p>
      <w:r>
        <w:t>Il résulte de ce qui précède que le recours, manifestement mal fondé, doit être rejeté dans la mesure où il est recevable sans autre échange d’écritures (art. 390 al. 2 CPP) et l’ordonnance attaquée confirmée. Les frais de la procédure de recours, constitués en l’espèce de l’émolument d'arrêt (art. 422 al. 1 CPP), par 770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 Par ces motifs, la Chambre des recours pénale, statuant à huis clos, prononce : I. Le recours est rejeté dans la mesure où il est recevable. II. L’ordonnance du 6 décembre 2013 est confirmée. III. Les frais du présent arrêt, par 770 fr. (sept cent septante francs), sont mis à la charge de A.W.________. IV. Le montant de 440 fr. (quatre cent quarante francs) déjà versé par le recourant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A.W.________, - Me Franck-Olivier Karlen, avocat (pour B.W.________),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