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17 vom 31. Dezember 2013</w:t>
      </w:r>
    </w:p>
    <w:p>
      <w:r>
        <w:t>VD Tribunal cantonal, 2013-12-31, FR</w:t>
      </w:r>
    </w:p>
    <w:p>
      <w:r>
        <w:rPr>
          <w:b/>
        </w:rPr>
        <w:t xml:space="preserve">Quelle: </w:t>
      </w:r>
      <w:r>
        <w:t>https://mcp.opencaselaw.ch/entscheid/vd_findinfo_D_cision___2014___17</w:t>
      </w:r>
    </w:p>
    <w:p>
      <w:r>
        <w:t>FR: VD_FINDINFO Décision / 2014 / 17 du 31 décembre 2013</w:t>
      </w:r>
    </w:p>
    <w:p>
      <w:r>
        <w:t>IT: VD_FINDINFO Décision / 2014 / 17 del 31 dicembre 2013</w:t>
      </w:r>
    </w:p>
    <w:p>
      <w:pPr>
        <w:pStyle w:val="Heading2"/>
      </w:pPr>
      <w:r>
        <w:t>Regeste</w:t>
      </w:r>
    </w:p>
    <w:p>
      <w:r>
        <w:t>NON-LIEU, ESCROQUERIE, ASTUCE | 146 CP</w:t>
      </w:r>
    </w:p>
    <w:p>
      <w:pPr>
        <w:pStyle w:val="Heading2"/>
      </w:pPr>
      <w:r>
        <w:t>Volltext</w:t>
      </w:r>
    </w:p>
    <w:p>
      <w:r>
        <w:t>Vaud Tribunal cantonal Chambre des recours pénale 31.12.2013 Décision / 2014 / 17</w:t>
      </w:r>
    </w:p>
    <w:p>
      <w:r>
        <w:t>NON-LIEU, ESCROQUERIE, ASTUCE | 146 CP</w:t>
      </w:r>
    </w:p>
    <w:p>
      <w:r>
        <w:t>TRIBUNAL CANTONAL 778 PE12.014079-YGL CHAMBRE DES RECOURS PENALE __________________________________________ Séance du 31 décembre 2013 __________________ Présidence de               M. K R I E G E R, président Juges :              MM. Meylan et Abrecht Greffier :              M. Ritter ***** Art. 146 al. 1 CP; 319 CPP La Chambre des recours pénale du Tribunal cantonal prend séance à huis clos pour statuer sur le recours interjeté le 23 août 2013 conjointement par D.________ et A.________ contre l’ordonnance de classement rendue le 12 août 2013 par le Procureur du Ministère public central, division entraide, criminalité économique et informatique, dans la cause n° PE12.014079-YGL dirigée contre H.________ . Elle considère: E n  f a i t : A. a) Le 7 juin 2012, D.________ et A.________ ont déposé plainte pénale contre H.________ et contre toute autre personne que justice dira, pour escroquerie et toute autre infraction (P. 4 et 5). Ils ont exposé qu’A.________, détenue par D.________, avait, par convention du 4 décembre 2008 passée en la forme authentique (P. 7/1), acquis d’une société [...] la moitié des actions que celle-ci détenait dans la société [...] et que, de ce fait, A.________ serait devenue propriétaire de l'entier du capital-actions de [...]. Cette dernière société était jusqu’alors détenue à parts égales par D.________ et H.________, au travers de sociétés leur appartenant. H.________ en était administrateur unique, de même qu’il l’était de l’ensemble des sociétés communes aux deux associés durant la période de leur collaboration. Du fait qu’A.________ était, pour sa part, une société dominée directement ou indirectement par D.________, H.________ a reçu de celle-ci en contrepartie les 50 % du capital-actions qu’elle détenait dans L.________, une autre société créée par les associés du temps de leur entente. En définitive, au lieu de posséder l’un et l’autre 50 % du capital-actions de chacune des deux sociétés, D.________ et H.________ devenaient chacun seul propriétaire économique de l’une des sociétés, à savoir de [...] pour le premier nommé et de L.________ pour le second. Selon les plaignants, l’opération devait être «neutre» sur le plan financier pour les deux parties d’après les explications fournies par H.________ (P. 5, ch. 5, p. 3; cf. aussi PV aud. 1, ligne 43-49). La convention du 4 décembre 2008 prévoit notamment ce qui suit : «(…) Les clauses et les conditions de la présente vente sont stipulées comme suit : 1.              Au sujet de la société « [...]», la venderesse (soit [...], réd.) déclare et certifie : 1.4- qu’elle ( [...], réd.) a rempli, à ce jour, toutes ses obligations fiscales, tant communales, cantonales que fédérales; (…); 1.10- que les passifs (de [...], réd.) sont connus et acceptés à ce jour par «A.________», sans aucune réserve quelconque. (...)». Les plaignants ont estimé avoir été victimes d'une escroquerie de la part de H.________ dans le cadre de la vente précitée pour les deux motifs suivants : - D'une part, H.________, qui détenait la moitié des actions vendues par l'intermédiaire d’ [...] et qui était administrateur de [...], leur aurait caché le fait que cette dernière faisait l'objet d'une procédure en rappel d'impôts concernant l'impôt fédéral direct dû pour l’exercice 2008; les plaignants avancent ainsi qu’ils ont été astreints, par décision de l’autorité fiscale du 14 juillet 2011 rendue à la suite d’une procédure en rappel et en soustraction d’impôt ouverte le 24 février 2011, à verser un supplément d’impôt fédéral direct de 222'912 fr. 50, majoré d'intérêts de retard de 20'928 fr. 80, auquel s'ajouterait encore une amende fiscale de 167'184 francs. Or, selon ceux-ci, la convention de vente du 4 décembre 2008 spécifiait, à son chiffre 1.4 précité, que [...] «a[vait] rempli, à ce jour, toutes ses obligations fiscales, tant communales, cantonales que fédérales» (P. 5, ch. 7, pp. 4 s.). Les intéressés y voient des déclarations mensongères susceptibles de fonder une accusation d’escroquerie, dès lors qu’on leur aurait ainsi garanti l’absence de tout arriéré fiscal. - D'autre part, les plaignants font valoir que H.________ leur aurait dissimulé le fait que, parmi les dettes de la société [...], figurait un compte courant actionnaire de 244'066 fr. 36 (P. 5, ch. 8, p. 5). Ainsi, toujours selon les plaignants, l'astuce pénalement punissable résiderait dans le fait qu'ils auraient été dissuadés de procéder à des vérifications en raison du rapport de confiance qui liait les parties. A cet égard, ils ont précisé que D.________ et H.________ avaient collaboré étroitement pendant plusieurs années dans le domaine de l'immobilier, instaurant ainsi le lien de confiance dont ils se prévalaient (P. 5, ch. 10, p. 6). Le comptable de H.________ durant les faits litigieux était un nommé P.________. b) A réception de la plainte, le Procureur a sollicité des autorités fiscales, par courrier du 12 juin 2012, la production du dossier de [...] (P. 9). Par ordonnance du 7 août 2012, le Ministère public central, division entraide, criminalité économique et informatique, a refusé d'entrer en matière et a laissé les frais à la charge de l'Etat. Il considéré qu'il n'y avait eu ni déclarations mensongères ni tromperie et que, partant, les éléments constitutifs de l'escroquerie n'étaient pas réalisés, s'agissant tant de la problématique fiscale que de l'existence d'un compte courant débiteur actionnaires. c) Cette ordonnance a été annulée par la Chambre des recours pénale par arrêt du 7 novembre 2012 (n° 705) rendu sur recours de D.________ et d’A.________. En reprise de cause, le Procureur a entendu notamment D.________ et H.________ (PV aud. 3 et 1, respectivement). Par des déterminations déposées le 5 août 2013, soit dans le délai de prochaine clôture, les plaignants ont insisté sur le caractère selon eux déséquilibré de la transaction incriminée, dû notamment à la question fiscale déjà décrite (P. 38). B. Par ordonnance du 12 août 2013, le Procureur a ordonné le classement de la procédure pénale dirigée contre H.________ pour escroquerie (I) et a laissé les frais de procédure à la charge de l’Etat (II). Le Procureur a retenu que les éléments constitutifs de l’infraction d’escroquerie n’étaient pas réalisés dans le cas particulier. Concernant d’abord le contentieux fiscal, il a relevé que, s’agissant d’une convention passée le 4 décembre 2008 sur la base d’une procuration délivrée à D.________ par A.________ le 25 septembre précédent, il semblait aller de soi que les impôts dus par [...] pour l’exercice fiscal 2008 ne pouvaient alors avoir déjà été réglés. En particulier, la disposition contractuelle dont se prévalaient les plaignants (ch. 1.4 de la convention du 4 décembre 2008), ne saurait avoir la signification qu’ils lui conféraient, puisque le vendeur ne pouvait donner quittance pour une tranche d’impôt non encore déterminée, ce que D.________ ne pouvait ignorer comme professionnel de l’immobilier. De même, toujours selon le procureur, la clause en question ne saurait être interprétée comme impliquant une obligation de constituer une provision fiscale à la charge de H.________ (ordonnance, ch. 2 et 3). Le procureur a ajouté que l’échange d’actions incriminé n’était qu’un des volets de l’opération, puisque deux autres sociétés communes devaient également faire l’objet d’une même processus d’échange (ordonnance, ch. 4). S’agissant, ensuite, du compte courant actionnaire prétendument celé par H.________, le magistrat a estimé que la dette en question découlait en réalité du compte créancier-actionnaire de D.________ lui-même (P. 29/1), le montant de 244'066 fr. 36 représentant le solde négatif de ce compte; il ne s’agissait ainsi pas d’une dette personnelle de H.________, mais d’une dette liée aux mouvements opérés par le plaignant (ordonnance, ch. 3). Partant, rien ne permettrait de dire que ce dernier aurait trompé ses partenaires à quelqu’égard que ce soit. C. Le 23 août 2013, D.________ et A.________, agissant conjointement, ont recouru contre l’ordonnance du 12 août 2013, concluant, sous suite de frais et dépens, à son annulation et à ce que le dossier de la cause soit renvoyé au Ministère public, principalement pour permettre la mise en accusation de H.________ dans le sens des considérants de l’arrêt à intervenir, notamment pour escroquerie, et subsidiairement afin qu’une nouvelle décision soit rendue à l’encontre de P.________, également dans le sens des considérants de l’arrêt à intervenir. E n  d r o i t : 1. L’ordonnance attaquée a été notifiée aux plaignants, par leur conseil commun, au plus tôt le 13 août 2013. Le délai de recours a, dans cette hypothèse, commencé à courir le lendemain pour venir à échéance le 23 août 2013 (art. 90 al. 1 CPP [Code de procédure pénale suisse du 5 octobre 2007; RS 312.0]). Interjeté ce même jour, le recours l’a été dans le délai légal (art. 322 al. 2 et 396 al. 1 CPP), contre une décision du Ministère public (art. 393 al. 1 let. a CPP), par les parties plaignantes qui ont qualité pour recourir (art. 382 al. 1 CPP). Interjeté dans les formes prescrites (art. 385 al. 1 CPP), le recours est ainsi recevable. 2. 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3. a) Réprimant l’escroquerie, l’art. 146 al. 1 CP (Code pénal; RS 311.0) dispose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U 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laisse tromper (ATF 119 IV 28 c. 3c; Dupuis et alii, op. cit., n. 12 ad art. 146 CP). b) En l’espèce, les recourant ne reviennent pas sur la démonstration du procureur s’agissant de la question fiscale et de celle du compte courant débiteur, incriminés l’une et l’autre dans la plainte. On doit donc considérer que ces points ne sont plus litigieux. En revanche, les recourants soutiennent avoir été trompés par le prévenu H.________, respectivement par son comptable P.________, le premier nommé ayant profité du lien de confiance existant avec D.________ pour obtenir une contrepartie déséquilibrée lors de la transaction du 4 décembre 2008 et le second ayant agi comme son «homme de main» (recours, ch. 21, p. 4). Les recourants mettent en avant les différences entre les actifs et les passifs des deux sociétés lors de l’échange de leurs actions (recours, ch. 16 et 17, p. 7). Même en admettant que leur analyse chiffrée soit juste, on ne voit pas sur quel fait ils se fondent pour prétendre avoir été trompés. En effet, la convention, passée devant notaire, prévoyait expressément, sous chiffre 1.10, que «les passifs (de [...], réd.) [étaie]nt connus et acceptés à ce jour par «A.________», sans aucune réserve quelconque» (P. 7/1). Ils ne l’expliquent d’ailleurs pas. De plus, ainsi que le mentionne l’ordonnance attaquée, sans que les recourants ne la contestent sur ce point, cet échange n’était que l’un des volets de l’opération, puisque deux autres sociétés communes à D.________ et à H.________ devaient également être l’objet du même processus d’échange (ordonnance, ch. 4). c) Certes, le prévenu, en sa qualité d’administrateur unique non seulement de [...], mais encore de l’ensemble des sociétés communes aux deux associés durant la période de leur collaboration, avait probablement la confiance de ses partenaires, notamment de D.________, avant que la situation ne se dégrade entre associés. Toutefois, rien n’indique qu’il en ait abusé et ait voulu les tromper. Ainsi, les actes ont été passés devant notaire et c’est l’officier public qui a préparé la répartition des sociétés, ce que confirment du reste les plaignants (recours, ch. 12 et 13, p. 6). Le fait que les documents nécessaires aient été remis au notaire par le prévenu n’y change rien, pas plus que les déclarations du prévenu au Procureur le 5 mars 2013, selon lesquelles aucune des sociétés n’avait de liquidités au moment de l’échange d’actions (PV aud. 1, lignes 26-27, 172-174 et 199-201). Cet élément tendrait bien plutôt à accréditer sa bonne foi. Il s’ensuit que les recourants ne fournissent pas le moindre indice un tant soit peu sérieux d’une intention dolosive du prévenu, respectivement de son comptable, laquelle ne ressort du reste d’aucun élément du dossier. On ne voit au surplus pas quelle mesure d’instruction complémentaire permettrait d’établir d’autres ou plus amples faits déterminants à cet égard. L’élément constitutif légal de la tromperie, à plus forte raison de l’astuce, n’est ainsi pas donné, ce qui exclut toute escroquerie. d) Dans ces conditions, une mise en accusation de l’intimé comme, du reste, de quiconque, ne pourrait aboutir qu’à un acquittement avec une vraisemblance confinant à la certitude. Il apparaît bien plutôt que le litige est de nature exclusivement civile. 4. 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990 fr. (art. 20 al. 1 TFJP [tarif des frais judiciaires pénaux; RSV 312.03.1]), seront mis à la charge des recourants, qui succombent (art. 428 al. 1 CPP), par moitié chacun et solidairement entre eux (art. 418 al. 1 et 2 CPP). Par ces motifs, la Chambre des recours pénale, statuant à huis clos, prononce : I. Le recours est rejeté. II. L’ordonnance du 12 août 2013 est confirmée. III. Les frais du présent arrêt, par 990 fr. (neuf cent nonante francs), sont mis à la charge de D.________ et d’A.________, par moitié chacun et solidairement entre eux. IV. L’arrêt est exécutoire. Le président :               Le greffier : Du L'arrêt qui précède, dont la rédaction a été approuvée à huis clos, est notifié, par l'envoi d'une copie complète, à : - Me Alain Dubuis, avocat (pour D.________ et A.________), - Me Gérald Page, avocat (pour H.________),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