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167 vom 19. Februar 2014</w:t>
      </w:r>
    </w:p>
    <w:p>
      <w:r>
        <w:t>VD Tribunal cantonal, 2014-02-19, FR</w:t>
      </w:r>
    </w:p>
    <w:p>
      <w:r>
        <w:rPr>
          <w:b/>
        </w:rPr>
        <w:t xml:space="preserve">Quelle: </w:t>
      </w:r>
      <w:r>
        <w:t>https://mcp.opencaselaw.ch/entscheid/vd_findinfo_D_cision___2014___167</w:t>
      </w:r>
    </w:p>
    <w:p>
      <w:r>
        <w:t>FR: VD_FINDINFO Décision / 2014 / 167 du 19 février 2014</w:t>
      </w:r>
    </w:p>
    <w:p>
      <w:r>
        <w:t>IT: VD_FINDINFO Décision / 2014 / 167 del 19 febbraio 2014</w:t>
      </w:r>
    </w:p>
    <w:p>
      <w:pPr>
        <w:pStyle w:val="Heading2"/>
      </w:pPr>
      <w:r>
        <w:t>Regeste</w:t>
      </w:r>
    </w:p>
    <w:p>
      <w:r>
        <w:t>CLASSEMENT DE LA PROCÉDURE, ENQUÊTE PÉNALE, CALOMNIE | 174 CP, 319 CPP (CH)</w:t>
      </w:r>
    </w:p>
    <w:p>
      <w:pPr>
        <w:pStyle w:val="Heading2"/>
      </w:pPr>
      <w:r>
        <w:t>Erwägungen</w:t>
      </w:r>
    </w:p>
    <w:p>
      <w:r>
        <w:rPr>
          <w:b/>
        </w:rPr>
        <w:t>E. 1.1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1.2</w:t>
      </w:r>
    </w:p>
    <w:p>
      <w:r>
        <w:t>L’ordonnance attaquée, envoyée par courrier B aux parties le mercredi 27 novembre 2013 (PV des opérations du 18 février 2014, p. 2), a été vraisemblablement reçue</w:t>
      </w:r>
    </w:p>
    <w:p>
      <w:r>
        <w:rPr>
          <w:b/>
        </w:rPr>
        <w:t>E. 3</w:t>
      </w:r>
    </w:p>
    <w:p>
      <w:r>
        <w:t>jours ouvrables plus tard, soit le lundi 2 décembre 2013. Le délai de recours a donc commencé à courir le mardi 3 décembre 2013, pour venir à échéance le 12 décembre 2013. Déposé le 11 décembre 2013 dans un bureau de poste suisse, le recours a ainsi été interjeté en temps utile et de surcroît dans les formes prescrites (art. 385 al. 1 CPP), de sorte qu’il est recevable. 2.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w:t>
      </w:r>
    </w:p>
    <w:p>
      <w:r>
        <w:rPr>
          <w:b/>
        </w:rPr>
        <w:t>E. 8</w:t>
      </w:r>
    </w:p>
    <w:p>
      <w:r>
        <w:t>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2.2 Aux termes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L'atteinte à l'honneur pénalement réprimée doit faire apparaître la personne visée comme méprisable (ATF 137 IV 313 c. 2.1.1; ATF 133 IV 308 c. 8.5.1). L’infraction est intentionnelle (Corboz, Les infractions en droit suisse, 3 e éd., vol. I, Berne 2010, n. 11 ad art. 174 CP) et l'auteur doit savoir – le dol éventuel n'est pas suffisant – que le fait qu'il allègue est faux (Corboz, op. cit., n. 1 ad art. 174 CP; Favre/Pellet/Stoudmann, Code pénal annoté, 3 e éd., Lausanne 2007, n. 1.1 ad art. 174 CP). 2.3 En l’espèce, la recourante reproche au prévenu d’avoir fait paraître de fausses annonces érotiques avec son nom et son numéro de téléphone. Ces faits relèvent de la calomnie. Il est vrai que les pièces produites par la recourante dans le cadre de la procédure n’établissent rien (P. 11). En revanche, il n’est pas exact d’affirmer – comme l’a fait le Ministère public – que le prévenu conteste les faits reprochés. Il ressort en effet du rapport de police établi le 3 avril 2012 à la suite de la première plainte de la recourante en décembre 2011 que le prévenu a admis avoir lui aussi sali le nom de H.________ en profitant des mêmes sites sociaux (P. 8, p. 3). Dans la mesure où cette audition ne figure pas au dossier, il est cependant difficile de se prononcer sur la portée exacte de cet aveu. En l’état, il y a lieu d’annuler l’ordonnance et de renvoyer la cause au Procureur pour qu’il fasse au moins verser l’audition du prévenu au dossier et en tire les conclusions qu’il jugera utiles. 2.4 L’art. 31 CP dispose que le droit de porter plainte se prescrit par trois mois. Le délai court du jour où l’ayant droit a connu l’auteur de l’infraction.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ère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(ATF 138 IV 241 c. 2.5). Dès lors que le classement doit faire l’objet d’un prononcé séparé, écrit et motivé, il ne saurait être glissé et mélangé au contenu d’une ordonnance pénale (ATF 138 IV 241) ou d’un acte d’accusation (CREP 27 mai 2013/294). En l’espèce, tant dans sa plainte de décembre 2011 que dans celle de juin 2013, la recourante reproche au prévenu de l’avoir, lors d’une séparation difficile en octobre 2010, traitée de « pute » et de « sale singe ». Les plaintes déposées pour dénoncer ces injures, même la première le 14 décembre 2011, paraissent cependant tardives (art. 31 CP), sans que le procureur n’ait statué sur cet aspect dans son ordonnance. Il s’agit donc d’un classement implicite. Pour ce motif aussi, l’ordonnance doit être annulée et le dossier renvoyé au Ministère public afin qu’il examine si la plainte déposée par la recourante l’a été en temps utile. 3. En définitive, le recours doit être admis, l’ordonnance de classement du 27 novembre 2013 annulée et le dossier renvoyé au Ministère public pour qu’il procède dans le sens des considérants. Vu l’issue de la cause, les frais de la procédure de recours, constitués en l’espèce du seul émolument d'arrêt (art. 422 al. 1 CPP), par 880 fr. (art. 20 al. 1 TFJP [tarif des frais judiciaires pénaux du 28 septembre 2010; RSV 312.03.1]), seront laissés à la charge de l’Etat (art. 428 al. 4 CPP). La requête de la recourante tendant à l’octroi de l’assistance judiciaire pour la procédure de recours est ainsi sans objet. Par ces motifs, la Chambre des recours pénale, statuant à huis clos, prononce : I. Le recours est admis. II. L'ordonnance du 27 novembre 2013 est annulée et le dossier de la cause est renvoyé au Ministère public de l’arrondissement de La Côte pour qu'il procède dans le sens des considérants. III. Les frais de la procédure de recours, par 880 fr. (huit cent huitante francs), sont laissés à la charge de l’Etat. IV. Le présent arrêt est exécutoire. Le président :               La greffière : Du L'arrêt qui précède, dont la rédaction a été approuvée à huis clos, est notifié, par l'envoi d'une copie complète, à : - Mme H.________, - M.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