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163 vom 14. Dezember 2013</w:t>
      </w:r>
    </w:p>
    <w:p>
      <w:r>
        <w:t>VD Tribunal cantonal, 2013-12-14, FR</w:t>
      </w:r>
    </w:p>
    <w:p>
      <w:r>
        <w:rPr>
          <w:b/>
        </w:rPr>
        <w:t xml:space="preserve">Quelle: </w:t>
      </w:r>
      <w:r>
        <w:t>https://mcp.opencaselaw.ch/entscheid/vd_findinfo_D_cision___2014___163</w:t>
      </w:r>
    </w:p>
    <w:p>
      <w:r>
        <w:t>FR: VD_FINDINFO Décision / 2014 / 163 du 14 décembre 2013</w:t>
      </w:r>
    </w:p>
    <w:p>
      <w:r>
        <w:t>IT: VD_FINDINFO Décision / 2014 / 163 del 14 dicembre 2013</w:t>
      </w:r>
    </w:p>
    <w:p>
      <w:pPr>
        <w:pStyle w:val="Heading2"/>
      </w:pPr>
      <w:r>
        <w:t>Regeste</w:t>
      </w:r>
    </w:p>
    <w:p>
      <w:r>
        <w:t>DÉTENTION PROVISOIRE, RISQUE DE RÉCIDIVE | 221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L’ordonnance attaquée se fondant sur le risque de récidive, il convient d'examiner s'il existe un tel risque, ce que le recourant semble contester. a) Il ressort de l’art. 221 al. 1 let. c CPP que le maintien en détention provisoire respectivement pour des motifs de sûreté se justifie notamment lorsqu'il y a sérieusement lieu de craindre que le prévenu compromette sérieusement la sécurité d'autrui par des crimes, ou à tout le moins par des délits graves (cf. ATF 137 IV 84 c. 3.2, JT 2011 IV 325),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 4.5 p. 21; ATF 135 I 71 c. 2.3 p. 73; ATF 133 I 270 c. 2.2 p. 276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 Kuhn/Jeanneret (éd.), op. cit., n. 20 ad art. 221 CPP). La prévention du risque de récidive doit permettre de faire prévaloir l'intérêt à la sécurité publique sur la liberté personnelle du prévenu (ATF 137 IV 13 c. 4.5). b) En l’espèce, le recourant O.________ a été condamné à deux reprises pour incendie intentionnel, dont une fois à 6 ans de réclusion (cf. extrait du casier judiciaire suisse de O.________ du 12 décembre 2013). A cela s’ajoute que le rapport d’expertise psychiatrique du recourant du 28 octobre 2010 conclut à l’existence d’un risque de récidive (P. 42, p. 11).  Les experts ont notamment souligné que O.________ souffrait de pyromanie, précisant que ce dernier semblait avoir une fascination pour le feu dès son plus jeune âge, soit dès l’âge de 10 ans et qu’il avait entamé sa « carrière » délictueuse à l’âge de 18 ans en ayant perpétré un peu moins de 90 incendies volontaires avoués (P. 42, p. 10). Une nouvelle expertise psychiatrique est en cours dans le cadre de la présente procédure afin d’actualiser celle précitée (PV des opérations du 27 janvier 2014, p. 7). Enfin, O.________ confirme qu’il consomme toujours des stupéfiants, quand bien même, de son propre aveu, ils altèrent sa conscience au point de ne plus savoir ce qu’il fait, allant jusqu’à admettre que la prise de dormicum a pu favoriser l’incendie qu’il a provoqué le 12 décembre 2013 (PV aud. de O.________ du 10 février 2014, p. 2). Compte tenu de ce qui précède, le risque de récidive existe.</w:t>
      </w:r>
    </w:p>
    <w:p>
      <w:r>
        <w:rPr>
          <w:b/>
        </w:rPr>
        <w:t>E. 3</w:t>
      </w:r>
    </w:p>
    <w:p>
      <w:r>
        <w:t>a) La détention provisoire et la détention pour des motifs de sûreté doivent être levées dès que des mesures de substitution (art. 237 CPP) permettent d’atteindre le même but (art. 212 al. 2 let. c CPP). Les mesures de substitution énumérées de manière non exhaustive à l’art. 237 CPP sont un succédané à la détention provisoire; elles poursuivent le même objectif – éviter la fuite, la récidive ou la collusion – tout en étant moins sévères ; le tribunal doit les prononcer à la place de la détention provisoire ou pour des motifs de sûreté si elles permettent d’empêcher la concrétisation du risque (Alexis Schmocker, in : Kuhn/Jeanneret (éd.), Commentaire romand, Code de procédure pénale suisse, Bâle 2011, n. 2 ad art. 237 CPP). b) En l’espèce, on relèvera, tout comme le Tribunal des mesures de contrainte, qu’au vu de l’échec de la mesure thérapeutique institutionnelle au sens de l’art. 60 CP ordonnée par le Tribunal correctionnel du Nord vaudois le 17 mars 2011, on voit mal pour quelle raison une telle prise en charge serait maintenant adéquate. S’agissant de l’intensification de la prise en charge psychologique ambulatoire proposée par le recourant, on peut douter qu’elle soit de nature à produire avec effet immédiat des bénéfices tels qu’ils écarteraient tout risque de récidive, notamment s’agissant d’éviter la réalisation d’un danger collectif. Le recourant propose enfin une mesure de surveillance de ses mouvements afin que l’autorité puisse le localiser en tout temps. A imaginer qu’un tel système puisse être mis en place, il n’est toutefois pas inconcevable que l’intéressé commette un nouveau méfait dans un périmètre proche de son domicile, avant même l'intervention de la police, et cela malgré une surveillance électronique. On rappellera enfin qu’une expertise psychiatrique est en cours et que, sans l’avis des experts et au vu des pièces figurant déjà au dossier, aucune mesure de substitution ne présente en l’état de garanties suffisantes pour pallier le risque de réitération, étant au demeurant précisé que l’on doit se montrer particulièrement exigeant lorsque la sécurité publique est en jeu.</w:t>
      </w:r>
    </w:p>
    <w:p>
      <w:r>
        <w:rPr>
          <w:b/>
        </w:rPr>
        <w:t>E. 4</w:t>
      </w:r>
    </w:p>
    <w:p>
      <w:r>
        <w:t>Les conditions légales étant alternatives, et non cumulatives, point n’est besoin d’examiner les autres motifs légaux de la détention provisoire (TF 1B_249/2011 du 7 juin 2011 c. 2.4; Forster, op. cit., n. 4 ad art. 221 CPP, p. 1460).</w:t>
      </w:r>
    </w:p>
    <w:p>
      <w:r>
        <w:rPr>
          <w:b/>
        </w:rPr>
        <w:t>E. 5</w:t>
      </w:r>
    </w:p>
    <w:p>
      <w:r>
        <w:t>a)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b) En l’espèce, le recourant est détenu depuis le 12 décembre 2013, soit depuis moins de trois mois. Compte tenu de ses antécédents et des charges qui pèsent sur lui, il s'expose à une peine privative de liberté d’une durée nettement supérieure à celle de la détention provisoire subie à ce jour, notamment au vu du fait que la peine encourue pour l’infraction d’incendie intentionnel est d’un an au moins (art. 221 al. 1 CP). Par conséquent, le principe de la proportionnalité est respecté.</w:t>
      </w:r>
    </w:p>
    <w:p>
      <w:r>
        <w:rPr>
          <w:b/>
        </w:rPr>
        <w:t>E. 6</w:t>
      </w:r>
    </w:p>
    <w:p>
      <w:r>
        <w:t>En définitive, le recours, manifestement mal fondé, doit être rejeté sans autre échange d’écritures (art. 390 al. 2 CPP) et l'ordonnance confirmée. Les frais de la procédure de recours, constitués en l’espèce de l'émolument d'arrêt (art. 422 al. 1 CPP), par 770 fr. (art. 20 al. 1 TFJP [tarif des frais judiciaires pénaux; RSV 312.03.1]), et des frais imputables à la défense d’office (art. 422 al. 1 et 2 let. a CPP), fixés à 540 fr. plus la TVA, par 43 fr. 20, soit 583 fr. 20, seront mis à la charge du recourant, qui succombe (art. 428 al. 1 CPP). Le remboursement à l’Etat de l’indemnité allouée au défenseur d’office de O.________ ne sera toutefois exigible que pour autant que la situation économique de ce dernier se soit améliorée (art. 135 al. 4 CPP). Par ces motifs, la Chambre des recours pénale, statuant à huis clos, prononce : I. Le recours est rejeté. II. L’ordonnance du 10 février 2014 est confirmée. III. L’indemnité allouée au défenseur d’office de O.________ est fixée à 583 fr. 20 (cinq cent huitante-trois francs et vingt centimes). IV. Les frais du présent arrêt, par 770 fr. (sept cent septante francs), ainsi que l’indemnité due au défenseur d’office de O.________, par 583 fr. 20 (cinq cent huitante-trois francs et vingt centimes), sont mis à la charge de ce dernier. V. Le remboursement à l'Etat de l'indemnité allouée au chiffre III ci-dessus sera exigible pour autant que la situation économique du recourant se soit améliorée. VI. Le présent arrêt est exécutoire. Le vice-président : La greffière : Du L'arrêt qui précède, dont la rédaction a été approuvée à huis clos, est notifié, par l'envoi d'une copie complète, à : - Me Alexa Landert, avocate (pour O.________), - Ministère public central, et communiqué à : - M. le Procureur de l’arrondissement du Nord vaudois, - M. le Président du Tribunal des mesures de contrainte,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