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162 vom 19. Februar 2014</w:t>
      </w:r>
    </w:p>
    <w:p>
      <w:r>
        <w:t>VD Tribunal cantonal, 2014-02-19, FR</w:t>
      </w:r>
    </w:p>
    <w:p>
      <w:r>
        <w:rPr>
          <w:b/>
        </w:rPr>
        <w:t xml:space="preserve">Quelle: </w:t>
      </w:r>
      <w:r>
        <w:t>https://mcp.opencaselaw.ch/entscheid/vd_findinfo_D_cision___2014___162</w:t>
      </w:r>
    </w:p>
    <w:p>
      <w:r>
        <w:t>FR: VD_FINDINFO Décision / 2014 / 162 du 19 février 2014</w:t>
      </w:r>
    </w:p>
    <w:p>
      <w:r>
        <w:t>IT: VD_FINDINFO Décision / 2014 / 162 del 19 febbraio 2014</w:t>
      </w:r>
    </w:p>
    <w:p>
      <w:pPr>
        <w:pStyle w:val="Heading2"/>
      </w:pPr>
      <w:r>
        <w:t>Regeste</w:t>
      </w:r>
    </w:p>
    <w:p>
      <w:r>
        <w:t>SUSPENSION DE LA PROCÉDURE | 146 al. 1 CP, 179septies CP, 314 al. 1 let. a CPP (CH), 393 al. 1 let. a CPP (CH)</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 CREP 10 juin 2013/400 c. 1 ; CREP 5 juin 2013/344 c. 1).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Interjeté dans le délai légal contre une décision susceptible de recours par la partie plaignante qui a qualité pour recourir (art. 382 al. 1 CPP) et dans les formes prescrites (art. 385 al. 1 CPP), le recours est recevable.</w:t>
      </w:r>
    </w:p>
    <w:p>
      <w:r>
        <w:rPr>
          <w:b/>
        </w:rPr>
        <w:t>E. 2</w:t>
      </w:r>
    </w:p>
    <w:p>
      <w:r>
        <w:t>Le recourant estime avoir donné suffisamment d’informations à la police pour que des démarches d’entraide judiciaire puissent être entreprises afin de retrouver les auteurs du réseau international d’escroquerie à la carte de crédit dans lequel il a été impliqué malgré lui. Il considère notamment que Q.________ qui semble jouer un rôle clé dans la société I.________ devrait être entendue dans le cadre d’une commission rogatoire.</w:t>
      </w:r>
    </w:p>
    <w:p>
      <w:r>
        <w:rPr>
          <w:b/>
        </w:rPr>
        <w:t>E. 2.1</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 lorsque l’auteur ou son lieu de séjour est inconnu, il met en œuvre les recherches (art. 314 al. 3 CPP). L’auteur est inconnu, au sens de l’art. 314 al. 1 let. a CPP, lorsque le Ministère public ne dispose pas à son sujet de renseignements permettant de l’identifier par son nom ; avant de suspendre, le Ministère public doit procéder à tous les actes d’enquête qui pourraient amener à l’identification de l’auteur (Cornu, op. cit., n. 5 ad art. 314 CPP). Il convient de procéder dans la mesure du raisonnable à l’administration des preuves utiles et disponibles sans attendre indéfiniment alors qu’aucun obstacle ne s’oppose à l’administration de la preuve ; on pensera notamment à l’audition des témoins (Moreillon et Parein-Reymond, Petit commentaire, CPP, Bâle 2013, n. 22 ad art. 314 CPP; Cornu, op. cit., n. 21 ad art. 314 CPP).</w:t>
      </w:r>
    </w:p>
    <w:p>
      <w:r>
        <w:rPr>
          <w:b/>
        </w:rPr>
        <w:t>E. 2.2</w:t>
      </w:r>
    </w:p>
    <w:p>
      <w:r>
        <w:t>En l’espèce, il faut donner raison au recourant lorsqu’il soutient que le Ministère public dispose d’indices suffisants pour progresser dans son enquête. Il ressort en effet du rapport de police que l’audition d’un certain B.________, à Paris, pourrait être une piste permettant de remonter à Q.________. Le Ministère public ne pouvait ainsi pas renoncer à exploiter cette piste en recourant, le cas échéant, aux instruments prévus par l’entraide internationale, avant toute décision de suspension. Il lui incombe donc d’entreprendre cette démarche et, en fonction du résultat de cette dernière, de poursuivre son enquête dans la mesure utile.</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TFJP [tarif des frais judiciaires pénaux; RSV 312.03.1]), seront laissés à la charge de l’Etat (art. 428 al. 4 CPP). Par ces motifs, la Chambre des recours pénale, statuant à huis clos, prononce : I. Le recours est admis. II. L’ordonnance du 9 janvier 2014 est annulée et le dossier de la cause est renvoyé au Ministère public de l’arrondissement de La Côte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