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157 vom 21. Februar 2014</w:t>
      </w:r>
    </w:p>
    <w:p>
      <w:r>
        <w:t>VD Tribunal cantonal, 2014-02-21, FR</w:t>
      </w:r>
    </w:p>
    <w:p>
      <w:r>
        <w:rPr>
          <w:b/>
        </w:rPr>
        <w:t xml:space="preserve">Quelle: </w:t>
      </w:r>
      <w:r>
        <w:t>https://mcp.opencaselaw.ch/entscheid/vd_findinfo_D_cision___2014___157</w:t>
      </w:r>
    </w:p>
    <w:p>
      <w:r>
        <w:t>FR: VD_FINDINFO Décision / 2014 / 157 du 21 février 2014</w:t>
      </w:r>
    </w:p>
    <w:p>
      <w:r>
        <w:t>IT: VD_FINDINFO Décision / 2014 / 157 del 21 febbraio 2014</w:t>
      </w:r>
    </w:p>
    <w:p>
      <w:pPr>
        <w:pStyle w:val="Heading2"/>
      </w:pPr>
      <w:r>
        <w:t>Regeste</w:t>
      </w:r>
    </w:p>
    <w:p>
      <w:r>
        <w:t>RISQUE DE FUITE, RISQUE DE RÉCIDIVE, DÉTENTION PROVISOIRE, SOUPÇON | 221 al. 1 let. a CPP (CH), 221 al. 1 let. c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Le recourant conteste l’existence de soupçons suffisants de culpabilité. Il soutient que les seuls éléments qui fonderaient sa culpabilité reposeraient uniquement sur les déclarations de son ex-compagne, les auditions des témoins n’étant, selon lui, pas concluantes au motif que les personnes entendues n’avaient pas assisté à sa dispute avec U.________, mais rapportaient des propos tenus par celle-ci. T.________ a encore ajouté que l’enquête ouverte depuis un mois et demi n’avait pas fourni d’éléments supplémentaires permettant de fonder de graves soupçons de culpabilité à son encontre qui justifiaient la prolongation de sa détention.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 b) En l’espèce, il y a lieu de relever que la Cour de Céans a déjà eu à examiner, dans son arrêt du 22 janvier 2014, les présomptions de culpabilité à l’encontre de T.________ (CREP du 22 janvier 2014/42 c. 2c). Il convient dès lors de se référer aux considérants de cet arrêt, suivant un procédé admissible (cf. dans ce sens, ATF 114 Ia 281 c. 4c; TF 1B_501/2012 du 10 octobre 2012 c. 3.2; TF 1B_149/2010 du 1 er juin 2010 c. 1.3 et les références citées ; CREP 9 mars 2012/102). On rappellera en particulier que le recourant est soupçonné d’avoir injurié, menacé de mort et contraint sexuellement son ex-compagne, U.________. Certes, l’intéressé conteste toujours toute menace et contrainte sexuelle à l’encontre d’U.________. Il a toutefois admis avoir demandé à cette dernière, dans la soirée du 8 au 9 janvier 2014, de faire l’amour et l’avoir insultée lors de la dispute qui a éclaté entre eux. T.________ a également admis avoir baissé le bas du pyjama de celle-ci, contre son gré, avoir tiré la ficelle de son string et lui avoir donné une fessée, le tout, selon ses dires, pour l’embêter. S’agissant du couteau, il a déclaré le tenir dans ses mains alors qu’il était énervé et avoir gesticulé avec celui-ci, de sorte que l’objet s’était trouvé à quelques centimètres de la tête de son ex-compagne. En outre, les auditions de l’amie proche d’U.________, de son fils aîné et de son nouveau compagnon ont corroboré les déclarations de cette dernière et ont mis en évidence le caractère violent et menaçant du prévenu à son encontre. A cet égard, on soulignera que le recourant, dans son audition par la police du 28 janvier 2014, a déclaré avoir posté des photographies de parties intimes d’U.________ sur un réseau social, encore une fois, selon lui, pour l’embêter, et avoir envoyé un message au nouveau compagnon de cette dernière, lui interdisant de la voir (cf. pv. aud. du 28 janvier 2014, pp. 6 et 7). Contrairement à ce qu’il soutient, ces éléments et son comportement lors de l’audition du 28 janvier 2014 tendent à renforcer les soupçons de culpabilité qui pèsent sur lui. Compte tenu de qui précède, force est de constater qu’il existe des indices sérieux de culpabilité à l’endroit du recourant qui sont suffisants pour justifier son maintien en détention provisoire.</w:t>
      </w:r>
    </w:p>
    <w:p>
      <w:r>
        <w:rPr>
          <w:b/>
        </w:rPr>
        <w:t>E. 3</w:t>
      </w:r>
    </w:p>
    <w:p>
      <w:r>
        <w:t>Le recourant conteste l’existence d’un risque de fuite (art. 221 al. 1 let. a CPP). Il avance n’avoir aucun intérêt à fuir en ce sens notamment qu’il avait des liens extrêmement étroits avec la Suisse du fait des contacts réguliers qu’il entretenait avec ses deux enfants, lesquels vivaient avec leur mère dans ce pays, et du fait qu’il devait débuter un emploi auprès d’un vigneron, à [...], le 24 février 2014.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(ATF 138 IV 81, c. 3.1 non publié). b) En l’espèce, le recourant est un ressortissant [...]. Il vient régulièrement en Suisse pour voir ses enfants et pour y travailler. En dehors des six à sept mois qu’il passe sur le territoire helvétique lors son activité d’effeuillage auprès d’un vigneron à [...],T.________ séjourne habituellement au [...], où il souhaite terminer son apprentissage de perceur. Durant ses séjours en Suisse, l’intéressé n’a pas de domicile fixe et loge chez son employeur ou chez des amis. Le fait que l’intéressé ait exposé vouloir rapidement travailler chez le vigneron, cet emploi étant sa seule source de revenus, n’est pas suffisant pour réduire le risque de fuite. Ainsi, au vu de ces éléments, de même que des faits qui lui sont reprochés et de la peine qu’il encourt, il y a tout lieu de craindre qu’en cas de remise en liberté, T.________ ne cherche à se soustraire aux poursuites engagées contre lui. Le risque de fuite est donc bien réel et justifie la prolongation de détention provisoire du recourant.</w:t>
      </w:r>
    </w:p>
    <w:p>
      <w:r>
        <w:rPr>
          <w:b/>
        </w:rPr>
        <w:t>E. 4</w:t>
      </w:r>
    </w:p>
    <w:p>
      <w:r>
        <w:t>ad art. 221 CPP). Cependant, il y a lieu de relever, par surabondance, que le risque de réitération est réalisé pour les motifs exposés ci-après.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 en pareil cas, il y a lieu de tenir compte de l'état psychique du prévenu, de son imprévisibilité ou de son agressivité (ATF 123 I 268 c. 2e).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selon le casier judiciaire du recourant, celui-ci a été condamné le 23 mai 2007 par le Tribunal correctionnel de La Côte à une peine d’emprisonnement de 5 mois avec sursis pendant 2 ans, pour vol, dommages à la propriété et violation de domicile, et le 8 novembre 2010 par le Juge d’instruction de La Côte à une peine pécuniaire de trente jours-amende à dix francs, avec sursis pendant 3 ans, pour séjour illégal. En outre, il ressort du dossier, notamment de l’audition du prévenu par la police le 28 janvier 2014, que l’intéressé n’a nullement pris conscience de la gravité des actes qui lui sont reprochés. A ce titre, on relèvera que T.________ a déclaré U.________ : « Si elle [est] conne, c’est sa faute. Elle veut pourrir ma vie. Je suis sûr que la seule chose qu’elle veut, c’est que je ne vois plus mes enfants et que je retourne au [...]. C’est le seul moyen qu’elle a trouvé » (cf. pv. aud. du 28 janvier 2014, p. 2) . Quant aux déclarations de l’amie proche d’U.________, celles-ci mettent en exergue que le recourant a eu, à plusieurs reprises, un comportement violent, insultant et menaçant à l’égard de son ex-compagne durant leur relation et depuis leur séparation. De plus, le message adressé au nouveau compagnon d’U.________ tend à montrer le caractère à la fois possessif et menaçant du recourant, malgré ses déclarations selon lesquelles il n’aurait plus de sentiments pour son ex-compagne. Au vu de ces éléments, le pronostic est défavorable. On peut admettre du reste que l’activité délictueuse du recourant est de nature à compromettre sérieusement la sécurité d’autrui au sens de l’art. 221 al. 1 let. c CPP puisque les infractions dont on peut redouter la réitération sont des délits graves mettant en danger la sécurité d’U.________. Le risque de réitération est dès lors concret.</w:t>
      </w:r>
    </w:p>
    <w:p>
      <w:r>
        <w:rPr>
          <w:b/>
        </w:rPr>
        <w:t>E. 5</w:t>
      </w:r>
    </w:p>
    <w:p>
      <w:r>
        <w:t>S’agissant des mesures de substitution, à l’instar du Tribunal des mesures de contrainte, la Cour de céans considère qu’aucune mesure ne présente de garanties suffisantes afin de prévenir les risques de fuite et de réitération, contrairement à ce qu’allègue le recourant. On relèvera qu’une interdiction d’approcher ou de contacter son ex-compagne ne saurait être considT.________ T.________ a usé de différents moyens pour exercer une pression sur son ex-compagne, notamment depuis Internet, avec la publication de photographies de parties intimes d’U.________ ou l’envoi de menaces à son compagnon.</w:t>
      </w:r>
    </w:p>
    <w:p>
      <w:r>
        <w:rPr>
          <w:b/>
        </w:rPr>
        <w:t>E. 6</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le recourant est détenu depuis le 9 janvier 2014, soit depuis un mois et demi environ. Compte tenu de ses antécédents et des charges qui pèsent sur lui, il s'expose à une peine d’une durée nettement supérieure à celle de la détention provisoire subie à ce jour. Par conséquent, le principe de la proportionnalité, dont le recourant invoque la violation, est respecté.</w:t>
      </w:r>
    </w:p>
    <w:p>
      <w:r>
        <w:rPr>
          <w:b/>
        </w:rPr>
        <w:t>E. 7</w:t>
      </w:r>
    </w:p>
    <w:p>
      <w:r>
        <w:t>En définitive, manifestement mal fondé, le recours doit être rejeté sans autres échanges d’écritures et l'ordonnance du 11 février 2014 confirmée. Les frais de la procédure de recours, par 990 fr. (art. 20 al. 1 TFJP [Tarif des frais judiciaires pénaux du 28 septembre 2010, RSV 312.03.1]), ainsi que les frais imputables à la défense d’office (art. 422 al. 1 et al. 2 let. a CPP), fixés à 540 fr., plus la TVA, par 43 fr. 20, soit 583 fr. 20 au total,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statuant à huis clos, prononce : I. Le recours est rejeté. II. L’ordonnance du 11 février 2014 est confirmée. III. L’indemnité allouée au défenseur d’office de T.________ est fixée à 583 fr. 20 (cinq cent huitante-trois francs et vingt centimes). IV. Les frais d’arrêt, par 990 fr. (neuf cent nonante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de T.________ se soit améliorée. VI. Le présent arrêt est exécutoire. Le vice-président : La greffière : Du L'arrêt qui précède, dont la rédaction a été approuvée à huis clos, est notifié, par l'envoi d'une copie complète, à : - M. Raphaël Brochellaz, avocat (pour T.________), - Ministère public central ; et communiqué à : - Mme Marie-Pomme Moinat, avocate (pour U.________),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