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155 vom 22. Januar 2014</w:t>
      </w:r>
    </w:p>
    <w:p>
      <w:r>
        <w:t>VD Tribunal cantonal, 2014-01-22, FR</w:t>
      </w:r>
    </w:p>
    <w:p>
      <w:r>
        <w:rPr>
          <w:b/>
        </w:rPr>
        <w:t xml:space="preserve">Quelle: </w:t>
      </w:r>
      <w:r>
        <w:t>https://mcp.opencaselaw.ch/entscheid/vd_findinfo_D_cision___2014___155</w:t>
      </w:r>
    </w:p>
    <w:p>
      <w:r>
        <w:t>FR: VD_FINDINFO Décision / 2014 / 155 du 22 janvier 2014</w:t>
      </w:r>
    </w:p>
    <w:p>
      <w:r>
        <w:t>IT: VD_FINDINFO Décision / 2014 / 155 del 22 gennaio 2014</w:t>
      </w:r>
    </w:p>
    <w:p>
      <w:pPr>
        <w:pStyle w:val="Heading2"/>
      </w:pPr>
      <w:r>
        <w:t>Regeste</w:t>
      </w:r>
    </w:p>
    <w:p>
      <w:r>
        <w:t>CONSULTATION DU DOSSIER, SECRET BANCAIRE, FIDÉLITÉ, AVOCAT, TIERS NON IMPLIQUÉ | 108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du Ministère public. 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ainsi susceptible de recours selon les art. 393 ss CPP (CREP 3 mai 2012/315; Chapuis, in : Kuhn/Jeanneret [éd.], Commentaire romand, Code de procédure pénale suisse, Bâle 2011, n. 1 ad art. 102 CPP; Schmutz, in : Niggli/Heer/Wiprächtiger [éd.], Basler Kommentar, Schweizerische Strafprozessordnung, Jugendstrafprozess-ordnung, Bâle 2011, n. 6 ad art. 102 CPP; Stephenson/Thiriet, in : Niggli/Heer/Wiprächtiger [éd.], op. cit., n. 10 ad art. 393 CPP; Rémy, in : Kuhn/Jeanneret [éd.], op. cit., n. 10 ad art. 393 CPP).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b) En l’espèce, les trois recours, qui satisfont aux conditions de forme posées par l’art. 385 al. 1 CPP et qui ont été interjetés en temps utile, devant l’autorité compétente, respectivement par la partie plaignante, par la prévenue et par le tiers intéressé qui ont qualité pour recourir (art. 382 al. 1 CPP et art. 105 al. 2 CPP), sont recevables.</w:t>
      </w:r>
    </w:p>
    <w:p>
      <w:r>
        <w:rPr>
          <w:b/>
        </w:rPr>
        <w:t>E. 2</w:t>
      </w:r>
    </w:p>
    <w:p>
      <w:r>
        <w:t>a) Concrétisant le droit d'être entendu (art. 29 al. 2 Cst. [Constitution fédérale de la Confédération suisse du 18 avril 1999; RS 101]) ainsi que les garanties relatives à un procès équitable et aux droits de la défense (art. 6 par. 3 CEDH [Convention du 4 novembre 1950 de sauvegarde des droits de l’homme et des libertés fondamentales; RS 0.101] et 32 al. 2 Cst.), l'art. 107 al. 1 let. a CPP garantit aux parties de manière générale l'accès au dossier. Ce droit n’est cependant pas absolu. Selon l’art. 108 al. CPP – qui concerne toutes les parties à la procédure, au sens des art. 104 ss CPP (Moreillon/Parein-Reymond, Petit commentaire CPP, Bâle 2013, n. 2 ad art. 108 CPP) –,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La restriction du droit d’être entendu peut porter sur des actes de procédure déterminés et dans cette hypothèse peut être illimitée dans le temps (CREP 17 mai 2013/360 c. 2b; cf. art. 108 al. 3 CPP). L’art. 108 al. 1 let. a CPP vise à sanctionner les comportements caractérisant un abus de droit. Il ne suffit pas que les intérêts de la procédure soient mis en péril; il doit exister, en plus, des raisons permettant de soupçonner qu’une partie – ou son conseil juridique – abuse concrètement de ses droits (Moreillon/ Parein-Reymond, op. cit., n. 5 ad art. 108 CPP; Bendani, in : Kuhn/Jeanneret [éd.], op. cit., n. 2 ad art. 108 CPP). Un tel abus de droit peut résulter de l’utilisation d’une faculté que confère la loi à des fins étrangères à celles pour lesquelles elle a été prévue (Piquerez/Macaluso, Procédure pénale suisse, 3 e éd., Genève/Zurich/Bâle 2011, p. 147). Il en va ainsi notamment lorsqu’il existe suffisamment d’éléments concrets permettant de craindre qu’une partie n’utilise le droit d’accès au dossier pour alimenter des procédures pénales ou civiles parallèles (cf. Vest/Horber, in : Niggli/Heer/Wiprächtiger [éd.], op. cit., n. 5 ad art. 108 CPP et la référence citée). Conformément à l’art. 108 al. 1 let. b CPP, le droit d’être entendu peut être restreint pour assurer la sécurité de personnes ou pour protéger des intérêts privés au maintien du secret. S’agissant de tiers, on pensera notamment à la menace ou à l’atteinte à leur sphère privée, ou à celle de leurs proches, à la protection de la personnalité (cf. Pitteloud, Code de procédure pénale suisse [CPP], Commentaire à l'usage des praticiens, Zurich/St-Gall 2012, n. 241 et la référence), à leur sécurité, comme à la protection des informations données (secret médical, secret commercial ou de fabrication, secret bancaire, etc.) (ATF 103 la 490, JT 1979 IV 26; Moreillon/Parein-Reymond, op. cit., n. 8 ad art. 108 CPP; Piquerez, Traité de procédure pénale suisse, 2 e éd., Genève/Zurich/Bâle 2006, ch. 336, pp. 219 s. avec note infrapaginale 679, et les références citées). Dans tous les cas, il y a lieu de pondérer l’intérêt de la partie qui se prévaut de son droit d’accès au dossier, d’une part, et les intérêts publics ou privés qui s’opposent à l’exercice de ce droit, d’autre part, dans le respect du principe de la proportionnalité (Vest/Horber, in : Niggli/Heer/Wiprächtiger [éd.], op. cit., n. 1 ad art. 108 CPP; Moreillon/Parein-Reymond, op. cit., n. 6 ad art. 108 CPP; Bendani, in : Kuhn/Jeanneret [éd.], op. cit., n. 7 ad art. 108 CPP). Si le droit d’accès au dossier du prévenu pèse d’emblée très lourd dans la balance en raison de son droit à une défense efficace (Lieber, in : Donatsch/Hansjakob/Lieber [éd.], Kommentar zur Schweizerischen Strafprozessordnung, Zurich/Bâle 2010, n. 7 ad art. 108 CPP et les références citées), le droit d’accès au dossier de la partie plaignante pèse évidemment d’un poids moindre, d’autant que les intérêts de la poursuite pénale, tout particulièrement lorsque l’instruction porte sur des infractions poursuivies d’office, sont déjà défendus par le ministère public. b) En l’espèce, le procureur, la prévenue et le tiers concerné s’accordent à considérer d’une part que les pièces litigieuses touchent incontestablement à la sphère privée d’un tiers non concerné par la procédure pénale en cours, en ce sens qu’elles sont couvertes par le secret bancaire dont il bénéficie, et d’autre part que le tiers concerné fait valoir de manière crédible un risque d’utilisation abusive desdites pièces de la part de la partie plaignante. D’abord, c’est à bon droit que le magistrat relève que, dans un contexte d’antagonisme singulier entre les parties avec une composante extrêmement émotionnelle, une utilisation sans lien direct avec l’instruction est concrètement à craindre (ordonnance, p. 3). La chambre de céans retient ensuite que le patrimoine et, partant, les opérations bancaires de quiconque sur son compte relèvent de la vie privée de la personne concernée et que tel est précisément l’intérêt protégé par la norme pénale de l’art. 47 al. 1 let. a LB (loi sur les banques; RS 952.0). Dès lors qu’il s’agit d’un tiers non concerné par la procédure pénale ici en cause, il y a lieu de se montrer d’autant plus vigilant à cet égard. Par principe, la procédure ne doit donc pas porter atteinte à la sphère privée de l’intéressé. Il en va d’autant ainsi que c’est de manière crédible que ce tiers fait valoir qu’il existe un risque concret d’utilisation des données le concernant sans lien direct avec l‘instruction. Dans l’hypothèse où ces informations parviendraient à la connaissance de K.________, rien n’empêcherait en effet celui-ci de les utiliser à son profit même dans d’autres procédures, comme il l’a déjà fait à une reprise au moins, en produisant devant le juge français du divorce une lettre de la banque en relation avec le compte [...]. A cela s’ajoute, comme le tiers concerné le fait valoir en particulier dans ses déterminations du 16 janvier 2014, que cette partie a effectué plusieurs débits sur les actifs du [...] dont l’affectation apparaît indécise en l’état de la procédure. Il apparaît enfin que le tiers est, de son propre aveu du reste, un proche de Q.________, ce qui est de toute évidence de nature à l’exposer à des procédés chicaniers de la part de K.________, vu la tension entre époux relevée par le Procureur. Il ressort effectivement de la procédure que le plaignant cherche à déterminer l’origine des fonds dont dispose le tiers concerné sur le compte en cause, alors même qu’aucun élément ne rend en l’état plausible que cette provenance soit déterminante pour l’issue de l’action pénale, ce qui n’exclut toutefois pas qu’elle le soit. Entre autres procédés, une dénonciation fiscale du tiers concerné aux autorités de son Etat d’origine n’est donc pas à exclure de la part de K.________. De même, il n’est pas à exclure que ce dernier tire profit des documents en question pour revendiquer tout ou partie des avoirs du tiers concerné, comme le relève la recourante Q.________. Il existe ainsi suffisamment d’éléments concrets permettant de craindre qu’une partie n’utilise le droit d’accès au dossier pour alimenter des procédures pénales ou civiles, voire administratives, parallèles précisément au sens où l’entend la doctrine (cf. Vest/Horber, loc. cit.). Le péril concret d’atteinte aux intérêts juridiquement protégés du tiers concerné est donc étayé à satisfaction de droit en l’état du dossier. Cela étant, il faut procéder à une pondération des intérêts, dans le respect du principe de la proportionnalité, entre d’une part les intérêts privés à la sauvegarde du secret et à la prévention d’une utilisation abusive de la part de la partie plaignante, et d’autre part l’intérêt de la partie plaignante à consulter les pièces en question. Les premiers doivent prévaloir sur le second, dans la mesure où le ministère public, qui est responsable de l’exercice uniforme de l’action publique (art. 16 al. 1 CPP), est en mesure d’apprécier les éléments contenus dans les pièces litigieuses et d’apprécier s’ils sont pertinents pour l’instruction pénale dirigée contre Q.________, ce qui ne paraît pas être le cas (cf. lettre A.c in fine supra). La recourante Q.________ demande expressément que l’accès aux pièces litigieuses soit interdit au conseil juridique de la partie plaignante, même si ce point ne fait l’objet d’aucune conclusion spécifique de son recours. C’est à juste titre que cette partie se réfère au devoir de fidélité, donc d’information, de l’avocat envers son mandant. En effet, la jurisprudence fédérale a déduit de cette obligation qu’une autorisation limitée aux avocats n’était pas adéquate, dès lors que les avocats ne sauraient défendre efficacement les intérêts qui leur sont confiés sans communiquer au mandant, d’une manière ou d’une autre, des données que le dossier pénal peut contenir à ce sujet (TF 1C_546/2013 du 11 juillet 2013 c. 2.4 et 2.5). Aussi bien, on ne voit guère comment le mandataire de la partie plaignante pourrait celer à son mandant, ne serait même que partiellement, le contenu des documents en question en refusant de le renseigner quant à la teneur de pièces dont il aurait pris connaissance dans l’exercice de son mandat, donc en étant rémunéré à cette fin par son client auquel il doit fidélité. Les pièces en cause doivent donc être soustraites à la consultation aussi bien par la partie plaignante que par son conseil. c) Il résulte de ce qui précède que les pièces litigieuses doivent être soustraites à la consultation par les parties. En revanche, tant qu’on ne peut pas affirmer catégoriquement qu’elles ne présentent aucune utilité pour la procédure, il ne saurait être question de les retrancher définitivement du dossier, comme le voudrait la prévenue. Elles doivent bien plutôt être maintenues au dossier, à la disposition du procureur, mais être définitivement soustraites à la consultation par la partie plaignante et par son conseil, comme proposé par le tiers concerné.</w:t>
      </w:r>
    </w:p>
    <w:p>
      <w:r>
        <w:rPr>
          <w:b/>
        </w:rPr>
        <w:t>E. 3</w:t>
      </w:r>
    </w:p>
    <w:p>
      <w:r>
        <w:t>En définitive, K.________ (qui voulait que les pièces litigieuses soit maintenues au dossier et consultables, sur autorisation de la direction de la procédure, dans les conditions prévues par l’ordonnance attaquée; cf. lettre C.a supra) obtient partiellement grain de cause en ce sens que les pièces ne seront pas retranchées du dossier, mais ne seront pas consultables. Pour sa part, le tiers concerné (qui voulait obtenir l’interdiction définitive de la consultation des pièces litigieuses; cf. lettre C.b supra) obtient entièrement gain de cause. Quant à elle, la prévenue (qui voulait que les pièces litigieuses soient définitivement retranchées du dossier; cf. lettre C.c supra) obtient partiellement gain de cause en ce sens que les pièces ne seront pas consultables, mais seront retranchées du dossier). Dès lors, le recours du tiers concerné doit être admis, tandis que les recours de la partie plaignante et de la prévenue doivent être partiellement admis. L’ordonnance attaquée doit être réformée en ce sens que les pièces 28, 34, 55 et 56, ainsi que les ordonnances de production de pièces des 3 septembre et 9 décembre 2012 et les déterminations adressées le 4 octobre 2013 par l’avocat Zeiter au Ministère public central (P. 86), sont définitivement soustraites à la consultation par la partie plaignante et son conseil. Les frais d'arrêt, par 1'430 fr. (art. 20 al. 1 TFJP [tarif des frais judiciaires pénaux du 28 septembre 2010; RSV 312.03.1]), doivent être mis à la charge de la partie plaignante et de la prévenue, qui succombent chacune partiellement (art. 428 al. 1 CPP), à parts égales (art. 418 al. 1 CPP), aucun frais n’étant mis à la charge du tiers concerné, qui obtient entièrement gain de cause. S’agissant des dépens réclamés par chacune des trois parties recourantes, il appartiendra, le cas échéant, à chacune de ces dernières d’adresser à la fin de la procédure ses prétentions à l’autorité pénale compétente selon les art. 429 ss CPP (CREP 16 avril 2013/279 c. 4 et les références citées). Par ces motifs, la Chambre des recours pénale, statuant à huis clos, prononce : I. Le recours du tiers concerné est admis. II. Le recours de K.________ est partiellement admis. III. Le recours de Q.________ est partiellement admis. IV. L'ordonnance du 24 octobre 2013 est réformée en ce sens que les pièces 28, 34, 55 et 56, ainsi que les ordonnances de production de pièces des 3 septembre et 9 décembre 2012 et les déterminations adressées le 4 octobre 2013 par l’avocat Zeiter au Ministère public central, sont définitivement soustraites à la consultation par la partie plaignante et par son conseil. V. Les frais de la procédure de recours, par 1’430 fr. (mille trois cent vingt francs), sont mis pour moitié, soit 715 fr. (sept cent quinze francs), à la charge de K.________ et pour moitié, soit 715 fr. (sept cent quinze francs), à la charge de Q.________. VI. Le présent arrêt est exécutoire. Le président :               Le greffier : Du L'arrêt qui précède, dont la rédaction a été approuvée à huis clos, est notifié, par l'envoi d'une copie complète, à : - M. Lionel Zeiter, avocat (pour le tiers concerné), - M. Michel Dupuis, avocat (pour K.________), - M. Alain Dubuis, avocat (pour Q.________),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