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145 vom 4. Februar 2014</w:t>
      </w:r>
    </w:p>
    <w:p>
      <w:r>
        <w:t>VD Tribunal cantonal, 2014-02-04, FR</w:t>
      </w:r>
    </w:p>
    <w:p>
      <w:r>
        <w:rPr>
          <w:b/>
        </w:rPr>
        <w:t xml:space="preserve">Quelle: </w:t>
      </w:r>
      <w:r>
        <w:t>https://mcp.opencaselaw.ch/entscheid/vd_findinfo_D_cision___2014___145</w:t>
      </w:r>
    </w:p>
    <w:p>
      <w:r>
        <w:t>FR: VD_FINDINFO Décision / 2014 / 145 du 4 février 2014</w:t>
      </w:r>
    </w:p>
    <w:p>
      <w:r>
        <w:t>IT: VD_FINDINFO Décision / 2014 / 145 del 4 febbraio 2014</w:t>
      </w:r>
    </w:p>
    <w:p>
      <w:pPr>
        <w:pStyle w:val="Heading2"/>
      </w:pPr>
      <w:r>
        <w:t>Regeste</w:t>
      </w:r>
    </w:p>
    <w:p>
      <w:r>
        <w:t>DÉCISION D'IRRECEVABILITÉ, DÉFENSE D'OFFICE, INDICATION ERRONÉE DES VOIES DE DROIT | 393 al. 1 let. b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 sauf contre ceux de la direction de la procédure » (en allemand : « ausgenommen sind verfahrensleitende Entscheide »; en italien : « sono eccettuate le disposizioni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b)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Rémy, in: Kuhn/Jeanneret [éd.], Commentaire romand, Code de procédure pénale suisse, Bâle 2011, n. 11 ad art. 393 CPP)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Contrairement à la lettre de l'art. 65 al. 2 CPP, le juge unique peut, comme le tribunal, d'office ou à la requête de l'une des parties, modifier ou annuler, des décisions ou ordonnances qu’il a rendues avant les débats. Sous réserve des cas où la loi ouvre expressément la voie du recours – ce qui est notamment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Moreillon/Parein-Reymond, Petit commentaire du Code de procédure pénale, Bâle 2013, n. 18 ad art. 393 CPP; CREP</w:t>
      </w:r>
    </w:p>
    <w:p>
      <w:r>
        <w:rPr>
          <w:b/>
        </w:rPr>
        <w:t>E. 6</w:t>
      </w:r>
    </w:p>
    <w:p>
      <w:r>
        <w:t>décembre 2013/776; CREP 4 novembre 2013/618; CREP 15 juillet 2013/463; CREP 8 mai 2013/261; JT 2011 III 205). Ainsi, si la décision rendue avant l’ouverture des débats n’est pas susceptible de causer un préjudice irréparable, elle ne peut pas faire l’objet d’un recours (Moreillon/Parein-Reymond, op. cit., n. 18 ad art. 393 CPP). c) Conformément aux principes qui viennent d’être rappelés, le prononcé refusant la désignation d’un défenseur d’office au prévenu ne peut pas être attaqué par la voie du recours, mais pourra être modifié d’office ou sur demande par le tribunal, dont la décision ne pourra être attaquée qu’avec la décision finale (Lieber, in: Donatsch/Hansjakob/Lieber [éd.], Kommentar zur Schweizerischen Strafprozessordnung, 2010, n. 12 ad art. 136 CPP ; CREP 6 décembre 2013/776 c. 1c; CREP 4 novembre 2013/618 c. 1c; CREP 15 juillet 2013/463 c. 1c). 2. Il résulte de ce qui précède que le recours interjeté par A.________ contre le prononcé rendu le 13 janvier 2014 par le Président du Tribunal d'arrondissement de Lausanne doit être déclaré irrecevable. A cet égard, le fait que la décision mentionne une voie de droit importe peu, puisque la jurisprudence a rappelé que l'indication erronée de voies de droit ne suffisait pas pour créer une voie de droit inexistante (ATF 117 Ia 297 c. 2; TF 2P.51/2007 du 4 juillet 2007 c. 5.1 et les références citées). Comme le prononcé entrepris mentionnait à tort la voie du recours à la Chambre des recours pénale du Tribunal cantonal, les frais de la procédure de recours, constitués en l’espèce du seul émolument d'arrêt (art. 422 al. 1 CPP), par 550 fr. (art. 20 al. 1 TFJP [tarif des frais judiciaires pénaux; RSV 312.03.1]), seront laissés à la charge de l’Etat (cf. art. 428 al. 1 CPP). Par ces motifs, la Chambre des recours pénale, statuant à huis clos, prononce : I. Le recours est irrecevable. II. Les frais du présent arrêt, par 550 fr. (cinq cent cinquante francs), sont laissés à la charge de l’Etat. III. Le présent arrêt est exécutoire. Le président :               La greffière : Du L'arrêt qui précède, dont la rédaction a été approuvée à huis clos, est notifié, par l'envoi d'une copie complète, à : - M. A.________,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