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142 vom 6. Februar 2014</w:t>
      </w:r>
    </w:p>
    <w:p>
      <w:r>
        <w:t>VD Tribunal cantonal, 2014-02-06, FR</w:t>
      </w:r>
    </w:p>
    <w:p>
      <w:r>
        <w:rPr>
          <w:b/>
        </w:rPr>
        <w:t xml:space="preserve">Quelle: </w:t>
      </w:r>
      <w:r>
        <w:t>https://mcp.opencaselaw.ch/entscheid/vd_findinfo_D_cision___2014___142</w:t>
      </w:r>
    </w:p>
    <w:p>
      <w:r>
        <w:t>FR: VD_FINDINFO Décision / 2014 / 142 du 6 février 2014</w:t>
      </w:r>
    </w:p>
    <w:p>
      <w:r>
        <w:t>IT: VD_FINDINFO Décision / 2014 / 142 del 6 febbraio 2014</w:t>
      </w:r>
    </w:p>
    <w:p>
      <w:pPr>
        <w:pStyle w:val="Heading2"/>
      </w:pPr>
      <w:r>
        <w:t>Regeste</w:t>
      </w:r>
    </w:p>
    <w:p>
      <w:r>
        <w:t>DÉCISION DE RENVOI | 107 al. 2 LTF, 68 al. 5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 CREP 23 avril 2012/197).</w:t>
      </w:r>
    </w:p>
    <w:p>
      <w:r>
        <w:rPr>
          <w:b/>
        </w:rPr>
        <w:t>E. 2</w:t>
      </w:r>
    </w:p>
    <w:p>
      <w:r>
        <w:t>a) Dans son arrêt du 16 janvier 2014, le Tribunal fédéral a considéré que les lésions subies par la recourante et constatées dans le rapport de l’UMV et les autres indices figurant au dossier ne permettaient pas, à ce stade, de retenir qu’il n’existait aucun soupçon justifiant une mise en accusation, ni que les éléments constitutifs d’une infraction n’étaient pas réunis; dès lors, sous réserve d’éventuelles compléments d’instruction à effectuer, un renvoi en jugement s’imposait au sens de l’art. 324 CPP (c. 2.3). Ces points ne sauraient être remis en cause, vu l’autorité de chose jugée attachée à l’arrêt fédéral. b) Il s’ensuit que le Procureur est tenu de dresser un acte d’accusation dirigé contre les prévenus, sous réserve de mesures d’instruction qu’il pourrait encore mettre en oeuvre.</w:t>
      </w:r>
    </w:p>
    <w:p>
      <w:r>
        <w:rPr>
          <w:b/>
        </w:rPr>
        <w:t>E. 3</w:t>
      </w:r>
    </w:p>
    <w:p>
      <w:r>
        <w:t>a) Il résulte de ce qui précède que le recours doit être admis, l’ordonnance de classement du 10 avril 2013 annulée et la cause renvoyée au Ministère public pour qu’il procède dans le sens des considérants. b) La recourante obtenant entièrement de gain de cause, les frais de la procédure de recours, comprenant l’émolument de l’arrêt du 29 avril 2013, par 880 fr., ainsi que l’émolument du présent arrêt, par 440 fr., seront laissés à la charge de l’Etat (art. 423 al. 1 CPP). c) S’agissant des dépens réclamés par la recourante, il appartiendra, le cas échéant, à cette dernière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10 avril 2013 est annulée et le dossier de la cause est renvoyé au Ministère public central, Division affaires spéciales, contrôle et mineurs, pour qu'il procède dans le sens des considérants. III. Les frais de la procédure de recours, par 1’320 fr. (mille trois cent vingt francs), sont laissés à la charge de l’Etat. IV. Le présent arrêt est exécutoire. Le président :               Le greffier : Du L'arrêt qui précède, dont la rédaction a été approuvée à huis clos, est notifié, par l'envoi d'une copie complète, à : - Me Philippe Currat, avocat (pour J.________), - Ministère public central, et communiquée à : - Monsieur le Procureur du Ministère public central, Division affaires spéciales, contrôle et mineurs, - Police municipale de Lausanne, à l’attention de M. P.-A. Raémy, commandant,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