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134 vom 11. Februar 2014</w:t>
      </w:r>
    </w:p>
    <w:p>
      <w:r>
        <w:t>VD Tribunal cantonal, 2014-02-11, FR</w:t>
      </w:r>
    </w:p>
    <w:p>
      <w:r>
        <w:rPr>
          <w:b/>
        </w:rPr>
        <w:t xml:space="preserve">Quelle: </w:t>
      </w:r>
      <w:r>
        <w:t>https://mcp.opencaselaw.ch/entscheid/vd_findinfo_D_cision___2014___134</w:t>
      </w:r>
    </w:p>
    <w:p>
      <w:r>
        <w:t>FR: VD_FINDINFO Décision / 2014 / 134 du 11 février 2014</w:t>
      </w:r>
    </w:p>
    <w:p>
      <w:r>
        <w:t>IT: VD_FINDINFO Décision / 2014 / 134 del 11 febbraio 2014</w:t>
      </w:r>
    </w:p>
    <w:p>
      <w:pPr>
        <w:pStyle w:val="Heading2"/>
      </w:pPr>
      <w:r>
        <w:t>Regeste</w:t>
      </w:r>
    </w:p>
    <w:p>
      <w:r>
        <w:t>DIFFAMATION, CALOMNIE, FAUX TÉMOIGNAGE, ABUS D'AUTORITÉ, DÉCISION D'IRRECEVABILITÉ | 173 CP, 174 CP, 183 CP, 307 CP, 312 CP, 310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w:t>
      </w:r>
    </w:p>
    <w:p>
      <w:r>
        <w:t>a)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ATF 133 IV 308 c. 8.5.1). Tant la diffamation que la calomnie sont des infractions intentionnelles (Corboz, Les infractions en droit suisse, 3 e éd., vol. I, Berne 2010, n. 48 ad art. 173 CP et n. 11 ad art. 174 CP), la seconde se distinguant de la première en ce sens qu'un élément subjectif supplémentaire doit être réalisé, à savoir que l'auteur sait – le dol éventuel n'est pas suffisant – que le fait qu'il allègue est faux (Corboz, op. cit., n. 1 ad art. 174 CP; Favre/Pellet/Stoudmann, Code pénal annoté, Lausanne, 3 e éd., 2007, n. 1.1 ad art. 174 CP). b) Aux termes de l'art. 183 ch. 1 CP, se rend coupable de séquestration et enlèvement, d'une part, celui qui, sans droit, arrête une personne, la retient prisonnière ou la prive de sa liberté de toute manière, et d'autre part, celui qui, en usant de violence, de ruse ou de menace, enlève une personne. Pour que l’infraction de séquestration soit consommée, il faut que l’auteur ait agi sans droit. Cette condition n’est notamment pas remplie en cas de décision conforme aux règles de la procédure pénale, soit par exemple un mandat d’arrêt, l’exécution d’une peine privative de liberté ou une privation de liberté à des fins d’assistance (Dupuis et alii, Petit commentaire du Code pénal, Bâle 2012, n. 34 ad art. 183 CP). c) Selon l'art. 307 al. 1 CP, se rend coupable de faux témoignage, faux rapport, fausse traduction en justice celui qui, étant témoin, expert, traducteur ou interprète en justice, aura fait une déposition fausse sur les faits de la cause, fourni un constat ou un rapport faux, ou fait une traduction fausse. L'infraction réprimée par l'art. 307 CP suppose d'abord que l'auteur soit intervenu en l'une des qualités mentionnées par cette disposition, soit comme témoin, expert, traducteur ou interprète; en particulier, le témoin est une personne physique, distincte des parties, qui, devant une autorité compétente et selon une procédure réglementée, rapporte ce qu'elle a personnellement vécu ou observé, en ayant le devoir de dire la vérité (Corboz, Les infractions en droit suisse, 3 e éd., vol. II, Berne 2010, n. 6 ad art. 307 CP). Ensuite, pour que cette infraction soit objectivement réalisée, il faut encore que l'auteur ait donné une fausse information et que celle-ci ait trait aux faits de la cause (Corboz, op. cit., nn. 30 ss ad art. 307 CP). Pour ce qui est de l’élément subjectif de l’infraction, l'auteur doit avoir agi intentionnellement, le dol éventuel étant suffisant (Corboz, op. cit., n. 46 ad art. 307 CP). Il faut donc que l'auteur sache ou du moins accepte l'éventualité qu'il intervient en justice comme témoin, expert, traducteur ou interprète et qu'il sache ou du moins accepte que ce qu'il dit en cette qualité ne correspond pas à la vérité objective (CREP 27 octobre 2011/470). d) En vertu de l'art. 312 CP, se rendent coupable d'abus d'autorité les membres d'une autorité et les fonctionnaires qui, dans le dessein de se procurer ou de procurer à un tiers un avantage illicite, ou dans le dessein de nuire à autrui, auront abusé des pouvoirs de leur charge. L'abus d'autorité présuppose, parmi les éléments constitutifs objectifs de l'infraction, que, dans l'accomplissement de sa tâche officielle, le membre de l'autorité ou le fonctionnaire abuse des moyens coercitifs inhérents à sa charge (Corboz, op. cit., n. 5 ad art. 312 CP). Cette infraction présuppose que le détenteur de l’autorité exerce de façon illégale le pouvoir qu'il tire de sa fonction, décidant ou contraignant là où il ne devrait pas; l'abus est cependant davantage qu'une simple violation des devoirs de service, mais suppose, bien plutôt, une violation insoutenable des règles applicables (Corboz, op. cit., n. 6 ad art. 312 CP). La licéité de l'acte est, en tous les cas, subordonnée à la condition qu'il soit proportionné à son but (ATF 107 IV 84 c. 4). L’auteur doit avoir conscience de son statut et accepter l’éventualité d’abuser des pouvoirs de sa charge (Corboz, op. cit., n. 9 ad art. 312 CP).</w:t>
      </w:r>
    </w:p>
    <w:p>
      <w:r>
        <w:rPr>
          <w:b/>
        </w:rPr>
        <w:t>E. 4</w:t>
      </w:r>
    </w:p>
    <w:p>
      <w:r>
        <w:t>a) En l'espèce, il convient en premier lieu d'examiner la plainte pénale déposée à l'encontre des Drs X.________ et T.________. Il ressort du rapport litigieux du 29 octobre 2013 que les médecins du SMPP n'ont fait que rapporter à S.________, chef de l’OEP, les propos tenus par le recourant lors d'un entretien thérapeutique. Comme l’a relevé à juste titre le Procureur général, les Drs X.________ et T.________ sont déliés du secret médical et de fonction, de sorte que les infractions de calomnie et diffamation ne sauraient leur être reprochées. De plus, ces deux médecins ont uniquement agi dans l'intérêt de la fille du recourant. On ne décèle dès lors aucun abus de pouvoir dans leur comportement. Enfin, les médecins n'étant pas intervenus en qualité de témoin, expert, traducteur ou interprète devant la justice, mais au sein de l’administration pénitentiaire, les éléments constitutifs de l'infraction de l’art. 307 CP ne sont de toute évidence pas remplis. b) S'agissant de la plainte pénale déposée à l'encontre de D.________ et S.________, il ressort du dossier que le recourant n’a pas dénoncé de comportement propre à réaliser les éléments constitutifs d'une infraction pénale. En effet, rien ne suggère que D.________ et S.________ aient tenu des propos mensongers lors de la séance des 9 et 10 septembre 2013, leurs déclarations n’étant pas retranscrites dans le compte rendu de la CIC. Ils n’ont au demeurant pas été entendus devant une autorité judiciaire, de sorte que l’art. 307 CP n’est pas applicable. En outre, rien au dossier ne permet de considérer que D.________ et S.________ aient abusé de leur pouvoir au sens de l’art. 312 CP, dans la mesure où ils n’ont pas remis en cause la libération conditionnelle du recourant, mais ont estimé que le suivi thérapeutique de ce dernier devait se faire par un thérapeute travaillant dans un contexte institutionnel. Enfin, le recourant ayant été détenu ensuite de ses condamnations des 30 avril 2008 et 13 septembre 2011, D.________ et S.________ ne peuvent se voir reprocher l’infraction de séquestration. Le fait que la décision de la CIC ait pu avoir une incidence sur la libération conditionnelle du recourant n’y change rien. Ce dernier a d’ailleurs pu contester sa réintégration, respectivement son maintien en détention, et faire valoir ses arguments dans le cadre de la procédure PE14.000583. c) Au vu de ce qui précède, c’est à bon droit que le Procureur général du canton de Vaud a rendu une ordonnance de non-entrée en matière, aucune mesure d'instruction complémentaire ne permettant d'aboutir à une appréciation différente.</w:t>
      </w:r>
    </w:p>
    <w:p>
      <w:r>
        <w:rPr>
          <w:b/>
        </w:rPr>
        <w:t>E. 5</w:t>
      </w:r>
    </w:p>
    <w:p>
      <w:r>
        <w:t>En définitive, le recours, manifestement mal fondé, doit être rejeté sans autres échanges d’écritures (art. 390 al. 2 CPP). Les frais de la procédure de recours, constitués en l’espèce du seul émolument d'arrêt (art. 422 al. 1 CPP), par 880 fr. (art. 20 al. 1 TFJP [tarif des frais judiciaires pénaux; RSV 312.03.1]), seront mis à la charge de Z.________, qui succombe (art. 428 al. 1 CPP). Par ces motifs, la Chambre des recours pénale, statuant à huis clos, prononce : I. Le recours est rejeté. II. L'ordonnance du 27 janvier 2014 est confirmée. III. Les frais du présent arrêt, par 880 fr. (huit cent huitante francs), sont mis à la charge de Z.________. IV. Le présent arrêt est exécutoire. Le président :               La greffière : Du L'arrêt qui précède, dont la rédaction a été approuvée à huis clos, est notifié, par l'envoi d'une copie complète, à : - M. Z.________, - M. le Procureur général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