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133 vom 14. Februar 2014</w:t>
      </w:r>
    </w:p>
    <w:p>
      <w:r>
        <w:t>VD Tribunal cantonal, 2014-02-14, FR</w:t>
      </w:r>
    </w:p>
    <w:p>
      <w:r>
        <w:rPr>
          <w:b/>
        </w:rPr>
        <w:t xml:space="preserve">Quelle: </w:t>
      </w:r>
      <w:r>
        <w:t>https://mcp.opencaselaw.ch/entscheid/vd_findinfo_D_cision___2014___133</w:t>
      </w:r>
    </w:p>
    <w:p>
      <w:r>
        <w:t>FR: VD_FINDINFO Décision / 2014 / 133 du 14 février 2014</w:t>
      </w:r>
    </w:p>
    <w:p>
      <w:r>
        <w:t>IT: VD_FINDINFO Décision / 2014 / 133 del 14 febbraio 2014</w:t>
      </w:r>
    </w:p>
    <w:p>
      <w:pPr>
        <w:pStyle w:val="Heading2"/>
      </w:pPr>
      <w:r>
        <w:t>Regeste</w:t>
      </w:r>
    </w:p>
    <w:p>
      <w:r>
        <w:t>RISQUE DE RÉCIDIVE, DÉTENTION PROVISOIRE, PROPORTIONNALITÉ, SOUPÇON | 221 al. 1 let. c CPP (CH), 221 al. 2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w:t>
      </w:r>
    </w:p>
    <w:p>
      <w:r>
        <w:rPr>
          <w:b/>
        </w:rPr>
        <w:t>E. 2</w:t>
      </w:r>
    </w:p>
    <w:p>
      <w:r>
        <w:t>a) Le recourant fait grief au Tribunal des mesures de contrainte d’avoir retenu qu’un risque de récidive au sens de l’art. 221 al. 1 let. c CPP et qu’un risque de passage à l’acte au sens de l’art. 221 al. 2 CPP étaient réalisés.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c)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in Kuhn/Jeanneret (éd.), Commentaire romand, Code de procédure pénale suisse, Bâle 2011, n. 22 ad art. 221 CPP et les références citées, p. 1029).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14 mai 2012/238); d) En l’espèce W.________ s’était rendu au garage du plaignant, le 12 décembre 2012. Il avait à cette occasion menacé M.________ et son employé D.________ au moyen d’un seau remplit d’essence à laquelle il avait déjà mis le feu (PV aud. de M.________, du 4 février 2014, in fine ). Cet incident a été admis par W.________ (PV aud. de W.________ du 4 février 2014, R. 6 – audition de police). Le prévenu s’est par ailleurs montré très déterminé lorsqu’il s’est rendu à […] le 4 février 2014. On rappellera en effet qu’il est parti d’Olten la veille, à 21h37, qu’il a effectué à pied le trajet de Lausanne à Renens, puis de Renens à […] et a attendu sur place de 05h45 à 09h00, avant de finalement se rendre, muni d’une machette et d’un couteau, au garage de son ancien employeur. S’il est vrai que le recourant a finalement pu être calmé et qu’il est en fin de compte parti du garage sans blesser personne, le mérite semble surtout en revenir à M.________ qui a su, malgré les circonstances, garder son sang-froid et convaincre le recourant. On retiendra par ailleurs que le recourant, qui admet avoir tenté de se suicider à deux reprises récemment (PV aud. du prévenu du 4 février 2014 p. 1, ligne 27 – audition par le procureur), semble très fragile psychologiquement. Une expertise psychiatrique a au demeurant été ordonnée par le procureur (PV des opérations du 5 février 2014, p. 4). Tous ces éléments traduisent une vraisemblable fragilité psychique couplée à une difficulté manifeste à se contrôler et permettent de retenir un pronostic très défavorable, le délit redouté par l’autorité de céans étant au surplus grave. Le risque de récidive est ainsi avéré. Pour les mêmes motifs, on admettra que le risque de passage à l’acte est patent et justifie le maintien en détention du recourant (art. 212 al. 2 CPP).</w:t>
      </w:r>
    </w:p>
    <w:p>
      <w:r>
        <w:rPr>
          <w:b/>
        </w:rPr>
        <w:t>E. 3</w:t>
      </w:r>
    </w:p>
    <w:p>
      <w:r>
        <w:t>a) W.________ se plaint encore d’un défaut de motivation sur la question des mesures de substitution proposées lors de l’audience du Tribunal des mesures de  contrainte du 6 février 2014. Il reproche en tous les cas au premier juge de ne pas avoir ordonné une telle mesure. A cet égard, le recourant a notamment offert de porter un bracelet électronique en précisant qu’il logeait à Matzendorf dans un appartement protégé surveillé en permanence (PV aud. du 6 février 2014, p. 2, lignes 26-27 et 37 – audition par le procureur) ; il s’est également engagé à ne plus venir à […] ni à contacter le garage de M.________. Le Tribunal des mesures de contrainte a considéré qu’en l’état, sans l’avis des experts, aucune mesure de substitution ne présentait de garanties suffisantes au regard de l’intensité du risque de réitération et du risque de passage à l’acte. b) 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14 mars 2011/46). c) En l’espèce, le Tribunal des mesures de contrainte s’est expressément penché sur les mesures de substitution proposées par le recourant en considérant qu’elles n’étaient, en l’état et sans l’avis des experts, pas suffisantes pour écarter le risque de récidive et de passage à l’acte. Cette motivation est ainsi suffisante au regard des exigences déduites de l’ordre constitutionnel. Par surabondance,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d’une motivation défaillante est ainsi infondé. d) La détention provisoire et la détention pour des motifs de sûreté doivent être levées dès que des mesures de substitution (art. 237 CPP) permettent d’atteindre le même but (art. 212 al. 2 let. c CPP). Les mesures de substitution énumérées de manière non exhaustive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(Alexis Schmocker, in : Kuhn/Jeanneret (éd.), Commentaire romand, Code de procédure pénale suisse, Bâle 2011, n. 2 ad art. 237 CPP). En l’espèce, comme on l’a vu, W.________ semble très fragile psychologiquement, notamment eût égard à ses deux tentatives de suicides récentes. Une expertise psychiatrique va être ordonnée. Celle-ci apportera des éléments de nature à clarifier encore davantage le risque de récidive. A cet égard, sans l’avis des experts, aucune mesure de substitution ne présente de garanties suffisantes en regard de l’intensité du risque. C’est donc à juste titre que le Tribunal des mesures de contrainte a considéré qu’à ce stade, aucune mesure de substitution ne présentait de garanties suffisantes en regard de l’intensité du risque de récidive. La privation de liberté est donc le seul moyen d’empêcher que ce risque se réalise. e) Enfin, le principe de la proportionnalité de la détention est pour le reste respecté compte tenu de la gravité des actes reprochés au recourant et de la durée de la détention provisoire subie.</w:t>
      </w:r>
    </w:p>
    <w:p>
      <w:r>
        <w:rPr>
          <w:b/>
        </w:rPr>
        <w:t>E. 4</w:t>
      </w:r>
    </w:p>
    <w:p>
      <w:r>
        <w:t>En définitive, mal fondé, le recours doit être rejeté sans autre échange d'écritures (art. 390 al. 2 CPP) et l'ordonnance attaquée confirmée. Les frais de la procédure de recours, constitués en l'espèce de l'émolument d'arrêt, par 990 fr. (art. 20 al. 1 TFJP [tarif des frais judiciaires pénaux; RSV 31.03.1])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6 février 2014 est confirmée. III. L’indemnité allouée au défenseur d’office de W.________ est fixée à 583 fr. 20 (cinq cent huitante-trois francs et vingt centimes). IV. Les frais d’arrêt, par 990 fr. (neuf cent nonante francs), ainsi que l’indemnité due au défenseur d’office de W.________, par 583 fr. 20 (cinq cent huitante-trois francs et vingt centimes), sont mis à la charge de ce dernier. V. Le remboursement à l’Etat de l’indemnité allouée au chiffre III ci-dessus sera exigible pour autant que la situation économique de W.________ se soit améliorée. VI. L’arrêt est exécutoire. Le président:               La greffière: Du L'arrêt qui précède, dont la rédaction a été approuvée à huis clos, est notifié, par l'envoi d'une copie complète, à : - Me Mathias Keller, avocat (pour W.________), - Ministère public central, et communiqué à : - M. le Président du Tribunal des mesures de contrainte,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