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 vom 6. Januar 2014</w:t>
      </w:r>
    </w:p>
    <w:p>
      <w:r>
        <w:t>VD Tribunal cantonal, 2014-01-06, FR</w:t>
      </w:r>
    </w:p>
    <w:p>
      <w:r>
        <w:rPr>
          <w:b/>
        </w:rPr>
        <w:t xml:space="preserve">Quelle: </w:t>
      </w:r>
      <w:r>
        <w:t>https://mcp.opencaselaw.ch/entscheid/vd_findinfo_D_cision___2014___13</w:t>
      </w:r>
    </w:p>
    <w:p>
      <w:r>
        <w:t>FR: VD_FINDINFO Décision / 2014 / 13 du 6 janvier 2014</w:t>
      </w:r>
    </w:p>
    <w:p>
      <w:r>
        <w:t>IT: VD_FINDINFO Décision / 2014 / 13 del 6 gennaio 2014</w:t>
      </w:r>
    </w:p>
    <w:p>
      <w:pPr>
        <w:pStyle w:val="Heading2"/>
      </w:pPr>
      <w:r>
        <w:t>Regeste</w:t>
      </w:r>
    </w:p>
    <w:p>
      <w:r>
        <w:t>RISQUE DE RÉCIDIVE, RISQUE DE COLLUSION | 221 al. 1 let. b CPP (CH), 221 al. 1 let. c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l’espèce, le recourant a admis, pour l’essentiel, les faits qui lui sont reprochés et ne conteste par ailleurs pas l’existence de présomptions de culpabilité suffisantes à son égard.</w:t>
      </w:r>
    </w:p>
    <w:p>
      <w:r>
        <w:rPr>
          <w:b/>
        </w:rPr>
        <w:t>E. 3</w:t>
      </w:r>
    </w:p>
    <w:p>
      <w:r>
        <w:t>L’ordonnance attaquée se fonde notamment sur le risque de réitération (art. 221 al. 1 let. c CPP), lequel est contesté par le recourant.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L.________ a déjà été condamné par la Cour de cassation pénale, le 20 février 2006, pour lésions corporelles simples qualifiées et infraction à la Loi fédérale sur la circulation routière (LCR du 19 décembre 1958; RS 741.01), à 7 mois d’emprisonnement avec sursis à l’exécution de la peine et délai d’épreuve de 2 ans. De surcroît, L.________ a été renvoyé le 7 août 2013 devant le Tribunal de police de l’arrondissement du Nord vaudois pour voies de fait, escroquerie et injure. Il sied de relever que les débats devant cette instance ont eu lieu le 11 décembre 2013, soit seulement quatre jours avant le brigandage qualifié qui lui est notamment reproché. Les débats en question, ainsi que le précédent jugement, n’ont clairement pas eu d’effet dissuasif. Vu ce qui précède, il est fortement à craindre que L.________ récidive dans ses comportements délictueux s’il devait être libéré. Le risque de réitération est par conséquent manifeste et justifie son maintien en détention provisoire.</w:t>
      </w:r>
    </w:p>
    <w:p>
      <w:r>
        <w:rPr>
          <w:b/>
        </w:rPr>
        <w:t>E. 4</w:t>
      </w:r>
    </w:p>
    <w:p>
      <w:r>
        <w:t>Bien que les conditions légales de la détention provisoire soient alternatives, et non cumulatives, on peut, par surabondance, relevé que le risque de collusion retenu par le Tribunal des mesures de contrainte (art. 221 al. 1 let. b CPP) est également avéré. a) Le risque de collusion existe notamment lorsqu’il est à craindre que l’intéressé ne mette sa liberté à profit, notamment pour prendre contact avec des témoins ou d’autres prévenus pour tenter d’influencer leurs déclarations (TF 1B_55/2010 du 11 mars 2010 c. 3.1). Le risque de collusion doit être étayé par des faits concrets et précis ; la simple possibilité théorique que le prévenu se livre à des manœuvres destinées à compromettre la recherche de la vérité ne suffit pas (ATF 132 I 21 c. 3.2 ; Schmocker, op. cit., n. 16 ad art. 221 CPP). b) En l’occurrence, le dernier auteur des faits susmentionnés, soit le dénommé Yvan, n’a pas été formellement identifié à ce jour et est toujours en fuite avec le butin. Il existe donc à l’évidence un risque concret que le recourant, s’il était libéré, cherche à interférer avec l’enquête en contactant son acolyte, ce qui compromettrait l’interpellation de ce dernier ainsi que la restitution à la victime de la somme d’argent dérobée. Au vu de ces éléments et en l’état de l’instruction, le risque de collusion est également patent.</w:t>
      </w:r>
    </w:p>
    <w:p>
      <w:r>
        <w:rPr>
          <w:b/>
        </w:rPr>
        <w:t>E. 5</w:t>
      </w:r>
    </w:p>
    <w:p>
      <w:r>
        <w:t>a) 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19 décembre 2013, soit depuis moins de trois semaines. Compte tenu de ses antécédents et des charges qui pèsent sur lui, il s'expose à une peine privative de liberté d’une durée manifestement supérieure à celle de la détention provisoire subie à ce jour. Par conséquent, le principe de la proportionnalité est respecté. Par ailleurs, aucune mesure de substitution ne permet de pallier les risques retenus.</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20 décembre 2013 est confirmée. III. L’indemnité allouée au défenseur d’office de L.________ est fixée à 583 fr. 20 (cinq cent huitante-trois francs et vingt centimes). IV. Les frais du présent arrêt, par 770 fr. (sept cent septante francs), ainsi que l’indemnité due au défenseur d’office du recourant, par 583 fr. 20 (cinq cent huitante-trois francs et vingt centimes), sont mis à la charge de L.________. V. Le remboursement à l’Etat de l’indemnité allouée au chiffre III ci-dessus sera exigible pour autant que la situation économique de L.________ se soit améliorée. VI. Le présent arrêt est exécutoire. Le président :               La greffière : Du L'arrêt qui précède, dont la rédaction a été approuvée à huis clos, est notifié, par l'envoi d'une copie complète, à : - M. Laurent Gilliard, avocat (pour L.________), - Ministère public central, et communiqué à : - Mme la Présidente du Tribunal des mesures de contrainte, - Mme la Procureure de l’arrondissement de Lausanne, - M. Z.________,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