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1135 vom 8. Dezember 2014</w:t>
      </w:r>
    </w:p>
    <w:p>
      <w:r>
        <w:t>VD Tribunal cantonal, 2014-12-08, FR</w:t>
      </w:r>
    </w:p>
    <w:p>
      <w:r>
        <w:rPr>
          <w:b/>
        </w:rPr>
        <w:t xml:space="preserve">Quelle: </w:t>
      </w:r>
      <w:r>
        <w:t>https://mcp.opencaselaw.ch/entscheid/vd_findinfo_D_cision___2014___1135</w:t>
      </w:r>
    </w:p>
    <w:p>
      <w:r>
        <w:t>FR: VD_FINDINFO Décision / 2014 / 1135 du 8 décembre 2014</w:t>
      </w:r>
    </w:p>
    <w:p>
      <w:r>
        <w:t>IT: VD_FINDINFO Décision / 2014 / 1135 del 8 dicembre 2014</w:t>
      </w:r>
    </w:p>
    <w:p>
      <w:pPr>
        <w:pStyle w:val="Heading2"/>
      </w:pPr>
      <w:r>
        <w:t>Regeste</w:t>
      </w:r>
    </w:p>
    <w:p>
      <w:r>
        <w:t>DÉCISION D'IRRECEVABILITÉ, MENACE{DROIT PÉNAL}, CONTRAINTE{DROIT PÉNAL}, PLAINTE PÉNALE | 180 CP, 181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l'ordonnance attaquée a été notifiée par courrier B du 14 octobre 2014 à la plaignante et celle-ci indique l’avoir reçue le 17 octobre 2014 (P. 6/2), ce qui correspond aux délais de distribution du courrier B par les service postaux. Déposé le 27 octobre 2014 auprès de l’autorité compétente, par la plaignante qui a qualité pour recourir (cf. art. 382 al. 1 CPP) et interjeté de surcroît dans les formes prescrites (art. 385 al. 1 CPP), le recours est recevable.</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w:t>
      </w:r>
    </w:p>
    <w:p>
      <w:r>
        <w:rPr>
          <w:b/>
        </w:rPr>
        <w:t>E. 2.2</w:t>
      </w:r>
    </w:p>
    <w:p>
      <w:r>
        <w:t>Se rend coupable de menaces (180 CP [Code pénal suisse du 21 décembre 1937; RS 311.0]), celui qui, par une menace grave, aura alarmé ou effrayé une personne. Si la menace de déposer une plainte pénale est fondée – notamment parce que le destinataire a effectivement commis un acte susceptible de plainte –, elle est en principe licite (Dupuis/Geller/Monnier/Moreillon/Piguet/Bettex/ Stoll [éd.], Petit Commentaire du Code de pénal, Bâle 2012, n. 15 ad art. 180 CP). En l’espèce, la recourante ne remet pas en cause, à juste titre, le signalement opéré par M.________, dès lors que celui-ci a été effectué conformément à l’art. 32 de la Loi d’application du droit fédéral de la protection de l’adulte et de l’enfant (LVPAE ; RSV 211.251) et qu’il ne contient aucune menace ou tentative de contrainte à son égard. S’agissant de la « menace » contenue dans le courrier d’G.________ et de V.________ du 21 mai 2014, celle-ci apparaît fondée. En effet, il y a lieu de relever que, dans son courrier du 12 mai 2014, X.________ a notamment remis en question les compétences professionnelles de M.________ et de K.________. Ce courrier a été adressé à de nombreuses personnes, notamment au médecin cantonal. Ces critiques pourraient être interprétées par les personnes concernées comme diffamatoires et/ou calomnieuses. Sans que l’on ait à se prononcer à ce stade sur les chances de succès d’une hypothétique procédure pénale, il y a lieu de constater que le contenu du courrier de X.________ du 12 mai 2014 était susceptible d’entraîner le dépôt d’une plainte pénale de la part des personnes critiquées. Dans cette mesure, le fait pour le chef de service et le médecin adjoint du SUPEA d’indiquer qu’ils soutiendraient, le cas échéant, leurs collaborateurs dans une telle démarche ne constituait pas une menace illicite au sens de l’art. 180 CP.</w:t>
      </w:r>
    </w:p>
    <w:p>
      <w:r>
        <w:rPr>
          <w:b/>
        </w:rPr>
        <w:t>E. 2.3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 ATF 129 IV 6 c. 3.4 ; ATF 119 IV 301 c. 2b ; Dupuis et alii, op. cit, nn. 20 ss ad art. 181 CP). En l’espèce, comme déjà dit, le moyen, soit la menace du dépôt d’une plainte pénale, n’était pas illicite. Quant au but visé, à savoir l’obligation pour la recourante d’accepter les mesures de placement concernant sa fille sans se manifester, il y a lieu de constater qu’il n’est pas non plus illicite. En effet, il n’existe aucune illicéité dans la mesure consistant à maintenir le suivi et les intervenants en charge d’F.________, dès lors que c’est précisément le rôle du SUPEA. Enfin, il n’y a pas non plus de disproportion entre le moyen utilisé et le but visé (Dupuis et alii, op. cit., n. 28 ad art. 181 CP). Par conséquent, c’est à juste titre que le Ministère public a considéré que les conditions de l’ouverture d’une instruction pénale n’étaient manifestement pas réunies (art. 310 al. 1 let. a CPP) et qu’il a décidé de ne pas entrer en matière sur la plainte de X.________.</w:t>
      </w:r>
    </w:p>
    <w:p>
      <w:r>
        <w:rPr>
          <w:b/>
        </w:rPr>
        <w:t>E. 3</w:t>
      </w:r>
    </w:p>
    <w:p>
      <w:r>
        <w:t>Il résulte de ce qui précède que le recours doit être rejeté et l’ordonnance du 7 octobre 2014 confirmée. Les frais de la procédure de recours, constitués du seul émolument d’arrêt, par 550 fr. (art. 20 al. 1 TFIP [Tarif des frais de procédure et indemnités en matière pénale du 28 septembre 2010, RSV 312.03.1]), seront mis à la charge de la recourante, qui succombe (art. 428 al. 1 CPP). Le montant de 440 fr. déjà versé par la recourante à titre de sûretés (art. 383 al. 1 CPP) sera imputé sur les frais mis à sa charge (art. 7 TFIP). Par ces motifs, la Chambre des recours pénale prononce : I. Le recours est rejeté. II. L’ordonnance attaquée est confirmée. III. Les frais de la procédure de recours, par 550  fr. (cinq cent cinquante francs), sont mis à la charge de la recourante. IV. Le montant de 440 fr. (quatre cent quarante francs) déjà versé par le recourant à titre de sûretés est imputé sur les frais mis à sa charge au chiffre III ci-dessus. V. Le présent arrêt est exécutoire. Le président :               La greffière : Du Le présent arrêt, dont la rédaction a été approuvée à huis clos, est notifié, par l'envoi d'une copie complète, à : - Mme 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