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1134 vom 24. Dezember 2014</w:t>
      </w:r>
    </w:p>
    <w:p>
      <w:r>
        <w:t>VD Tribunal cantonal, 2014-12-24, FR</w:t>
      </w:r>
    </w:p>
    <w:p>
      <w:r>
        <w:rPr>
          <w:b/>
        </w:rPr>
        <w:t xml:space="preserve">Quelle: </w:t>
      </w:r>
      <w:r>
        <w:t>https://mcp.opencaselaw.ch/entscheid/vd_findinfo_D_cision___2014___1134</w:t>
      </w:r>
    </w:p>
    <w:p>
      <w:r>
        <w:t>FR: VD_FINDINFO Décision / 2014 / 1134 du 24 décembre 2014</w:t>
      </w:r>
    </w:p>
    <w:p>
      <w:r>
        <w:t>IT: VD_FINDINFO Décision / 2014 / 1134 del 24 dicembre 2014</w:t>
      </w:r>
    </w:p>
    <w:p>
      <w:pPr>
        <w:pStyle w:val="Heading2"/>
      </w:pPr>
      <w:r>
        <w:t>Regeste</w:t>
      </w:r>
    </w:p>
    <w:p>
      <w:r>
        <w:t>DÉTENTION PROVISOIRE, PROLONGATION, RISQUE DE FUITE, RISQUE DE COLLUSION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w:t>
      </w:r>
    </w:p>
    <w:p>
      <w:r>
        <w:rPr>
          <w:b/>
        </w:rPr>
        <w:t>E. 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w:t>
      </w:r>
    </w:p>
    <w:p>
      <w:r>
        <w:rPr>
          <w:b/>
        </w:rPr>
        <w:t>E. 2.3</w:t>
      </w:r>
    </w:p>
    <w:p>
      <w:r>
        <w:t>En l’espèce, le recourant, arrêté alors qu’il venait de réceptionner 150 g de cocaïne, est mis en cause pour occuper une position de revendeur dans un réseau international de trafic de drogue. Quinze doigts de cocaïne ont été saisis sur sa personne alors qu’il descendait du train en gare de Renens. Le réseau a été démantelé à la suite d’écoutes téléphoniques. Sept autres revendeurs présumés ont été arrêtés dans le cadre de la même enquête. Ils étaient alors en possession de 100 g, 80 g, 70 g, 110 g, 50 g, 100 g et 110 g de cocaïne respectivement. Une quantité de 800 g de cette même drogue, d’origine inconnue, a en outre été saisie dans le logement de la personne mise sous écoute. Au vu de l’ensemble de ce faits, les soupçons pesant sur le recourant sont amplement suffisants à l’aune de l’art. 221 al. 1 in initio CPP.</w:t>
      </w:r>
    </w:p>
    <w:p>
      <w:r>
        <w:rPr>
          <w:b/>
        </w:rPr>
        <w:t>E. 3.1</w:t>
      </w:r>
    </w:p>
    <w:p>
      <w:r>
        <w:t>Le recourant nie présenter encore un risque de collusion avec ses comparses, voire avec des tiers. Il conteste en outre que la détention provisoire à subir jusqu’au 14 mars 2015 respecte encore la proportionnalité avec la peine privative de liberté susceptible d’être prononcée à son encontre. Le recourant ne conteste pas l’existence d’un risque de fuite. On ne saurait toutefois faire l’économie de l’examen de cette condition légale. En effet, les conditions fixées à l'art. 221 al. 1 let. a à c CPP sont des conditions alternatives et, partant, la réalisation d'une seule cause suffit pour justifier la détention provisoire (TF 1B_249/2011 du 7 juin 2011 c. 2.4). Ressortissant nigérian, le recourant dit vivre en République tchèque et avoir deux enfants séjournant dans ce pays (PV d’audition d’arrestation du 15 septembre 2014, lignes 59 et 63). Il n’a pas de domicile en Suisse, pas plus qu’il ne bénéficie d’un titre de séjour ou d’une autorisation de travail dans notre pays. Sans attaches en Suisse, il est dès lors à craindre que, s’il venait à être libéré avant le jugement, il ne se rende à l’étranger et se soustraie à la poursuite pénale. Le risque de fuite est donc concret. En outre, aucune mesure de substitution n’est susceptible de pallier ce risque.</w:t>
      </w:r>
    </w:p>
    <w:p>
      <w:r>
        <w:rPr>
          <w:b/>
        </w:rPr>
        <w:t>E. 3.2</w:t>
      </w:r>
    </w:p>
    <w:p>
      <w:r>
        <w:t>La détention provisoire étant justifiée par le seul risque de fuite, il n'est pas nécessaire de trancher la question de l'existence du risque de collusion, retenu par le Tribunal des mesures de contrainte et contesté par le recourant (TF 1B_249/2011 du 7 juin 2011 c. 2.4). Par surabondance, tout risque de collusion au sens légal ne saurait être écarté du seul fait que l’enquête est terminée en ce qui concerne le recourant, un avis de prochaine clôture lui ayant été adressé. Le prévenu fait en effet mine d’oublier que les investigations se poursuivent quant à savoir qui est l’individu sur ordre duquel il a pris en charge la drogue saisie sur sa personne et qui sont les autres protagonistes du trafic, lequel apparaît de grande ampleur. Il apparaît ainsi que tous les individus impliqués dans le trafic n’ont pour l’heure pas été arrêtés (cf. la demande de prolongation de la détention provisoire du 4 décembre 2014). Le risque de collusion avec des comparses en liberté est ainsi aussi concrètement avéré, s’agissant d’activités criminelles relevant de toute évidence d’un réseau.</w:t>
      </w:r>
    </w:p>
    <w:p>
      <w:r>
        <w:rPr>
          <w:b/>
        </w:rPr>
        <w:t>E. 4.1</w:t>
      </w:r>
    </w:p>
    <w:p>
      <w:r>
        <w:t>Le recourant invoque encore une violation du principe de la proportionnalité.</w:t>
      </w:r>
    </w:p>
    <w:p>
      <w:r>
        <w:rPr>
          <w:b/>
        </w:rPr>
        <w:t>E. 4.2</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4.3</w:t>
      </w:r>
    </w:p>
    <w:p>
      <w:r>
        <w:t>En l’espèce, le recourant aura été détenu depuis six mois à la date du 14 mars 2015. Les actes qui lui sont reprochés paraissent constitutifs d’un cas grave au sens de la LStup. Compte tenu de surcroît, et le cas échéant, de la circonstance aggravante de la bande, en sus de la quantité de stupéfiants, il s'expose à une peine privative de liberté d’une durée manifestement supérieure à celle de la détention provisoire qu’il aura subie à l’échéance prévue. Le principe de la proportionnalité demeure donc respecté.</w:t>
      </w:r>
    </w:p>
    <w:p>
      <w:r>
        <w:rPr>
          <w:b/>
        </w:rPr>
        <w:t>E. 5</w:t>
      </w:r>
    </w:p>
    <w:p>
      <w:r>
        <w:t>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décembre 2014 est confirmée. III. L’indemnité allouée au défenseur d’office de A.________ est fixée à 486 fr. (quatre cent huitante-six francs). IV. Les frais d’arrêt, par 660 fr. (six cent soixante francs), ainsi que l’indemnité due au défenseur d’office de A.________, par 486 fr. (quatre cent huitante-six francs), sont mis à la charge de ce dernier. V. Le remboursement à l'Etat de l'indemnité allouée au chiffre III ci-dessus ne sera exigible que pour autant que la situation économique de A.________ se soit améliorée. VI. Le présent arrêt est exécutoire. Le président :               Le greffier : Du Le présent arrêt, dont la rédaction a été approuvée à huis clos, est notifié, par l'envoi d'une copie complète, à : - M. Robert Fox, avocat (pour A.________),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