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1130 vom 3. November 2014</w:t>
      </w:r>
    </w:p>
    <w:p>
      <w:r>
        <w:t>VD Tribunal cantonal, 2014-11-03, FR</w:t>
      </w:r>
    </w:p>
    <w:p>
      <w:r>
        <w:rPr>
          <w:b/>
        </w:rPr>
        <w:t xml:space="preserve">Quelle: </w:t>
      </w:r>
      <w:r>
        <w:t>https://mcp.opencaselaw.ch/entscheid/vd_findinfo_D_cision___2014___1130</w:t>
      </w:r>
    </w:p>
    <w:p>
      <w:r>
        <w:t>FR: VD_FINDINFO Décision / 2014 / 1130 du 3 novembre 2014</w:t>
      </w:r>
    </w:p>
    <w:p>
      <w:r>
        <w:t>IT: VD_FINDINFO Décision / 2014 / 1130 del 3 novembre 2014</w:t>
      </w:r>
    </w:p>
    <w:p>
      <w:pPr>
        <w:pStyle w:val="Heading2"/>
      </w:pPr>
      <w:r>
        <w:t>Regeste</w:t>
      </w:r>
    </w:p>
    <w:p>
      <w:r>
        <w:t>NON-LIEU |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En l'espèce, il ressort du dossier qu’il n’existe pas le moindre indice d’un comportement pénalement répréhensible de la part de A.G.________ en sa qualité de représentante de l'hoirie de feu B.G.________. En effet, le montant de 63'000 fr. invoqué par la recourante concerne une commission de courtage qui aurait dû, selon elle, lui être versée par la société P.________SA, dont feu B.G.________ était le directeur général (avec signature collective à deux) jusqu'à son décès intervenu le 25 janvier 2013. On ne voit pas en quoi A.G.________ pouvait à cet égard se voir reprocher d’avoir commis une infraction pénale. Quant au montant de 8'766 fr. réclamé par le conseil de A.G.________ (P. 4, p. 2), il correspond à l'avance de frais fournie par cette dernière, par 4'766 fr., et aux dépens alloués par le Tribunal civil de l'arrondissement de La Côte par jugement du 10 juin 2014, par 4'000 francs. Dès lors, force est de constater qu'il s'agit là d'un litige purement civil. Au vu de ce qui précède, les éléments constitutifs d'une infraction pénale ne sont manifestement pas réunis. L'ordonnance de non-entrée en matière du Ministère public échappe donc à la critique.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 seront mis à la charge de la recourante qui succombe (art. 428 al. 1 CPP). Ces frais seront compensés avec le montant de 440 fr. déjà versé par celle-ci à titre de sûretés (art.</w:t>
      </w:r>
    </w:p>
    <w:p>
      <w:r>
        <w:rPr>
          <w:b/>
        </w:rPr>
        <w:t>E. 7</w:t>
      </w:r>
    </w:p>
    <w:p>
      <w:r>
        <w:t>TFIP). Par ces motifs, la Chambre des recours pénale prononce : I. Le recours est rejeté. II. L'ordonnance du 3 septembre 2014 est confirmée. III. Les frais de la procédure de recours, par 440 fr. (quatre cent quarante francs), sont mis à la charge d'O.________Sàrl. IV. Les frais mis à la charge d’O.________Sàrl au chiffre III ci-dessus sont compensés avec le montant de 440 fr. (quatre cent quarante francs) déjà versé par celle-ci à titre de sûretés. V. Le présent arrêt est exécutoire. Le président :               La greffière : Du Le présent arrêt, dont la rédaction a été approuvée à huis clos, est notifié, par l'envoi d'une copie complète, à : - O.________Sàrl,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