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1124 vom 22. Dezember 2014</w:t>
      </w:r>
    </w:p>
    <w:p>
      <w:r>
        <w:t>VD Tribunal cantonal, 2014-12-22, FR</w:t>
      </w:r>
    </w:p>
    <w:p>
      <w:r>
        <w:rPr>
          <w:b/>
        </w:rPr>
        <w:t xml:space="preserve">Quelle: </w:t>
      </w:r>
      <w:r>
        <w:t>https://mcp.opencaselaw.ch/entscheid/vd_findinfo_D_cision___2014___1124</w:t>
      </w:r>
    </w:p>
    <w:p>
      <w:r>
        <w:t>FR: VD_FINDINFO Décision / 2014 / 1124 du 22 décembre 2014</w:t>
      </w:r>
    </w:p>
    <w:p>
      <w:r>
        <w:t>IT: VD_FINDINFO Décision / 2014 / 1124 del 22 dicembre 2014</w:t>
      </w:r>
    </w:p>
    <w:p>
      <w:pPr>
        <w:pStyle w:val="Heading2"/>
      </w:pPr>
      <w:r>
        <w:t>Regeste</w:t>
      </w:r>
    </w:p>
    <w:p>
      <w:r>
        <w:t>RISQUE DE FUITE, DÉTENTION PROVISOIRE | 221 al. 1 let. a CPP (CH), 393 al. 1 let. c CPP (CH)</w:t>
      </w:r>
    </w:p>
    <w:p>
      <w:pPr>
        <w:pStyle w:val="Heading2"/>
      </w:pPr>
      <w:r>
        <w:t>Erwägungen</w:t>
      </w:r>
    </w:p>
    <w:p>
      <w:r>
        <w:rPr>
          <w:b/>
        </w:rPr>
        <w:t>E. 1</w:t>
      </w:r>
    </w:p>
    <w:p>
      <w:r>
        <w:t>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w:t>
      </w:r>
    </w:p>
    <w:p>
      <w:r>
        <w:rPr>
          <w:b/>
        </w:rPr>
        <w:t>E. 2.2</w:t>
      </w:r>
    </w:p>
    <w:p>
      <w:r>
        <w:t>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En l’espèce, la recourante conteste l’existence de présomptions suffisantes de culpabilité à son encontre. Elle a pourtant été interpellée alors qu’elle transportait 110 grammes brut de cocaïne avec l’intention de la livrer à un tiers en échange d’une rémunération. Il ressort en outre du rapport de police établi le 24 novembre 2014 que ce n’était vraisemblablement pas la première fois qu’elle agissait de la sorte. En effet, au cours d’une conversation téléphonique qu’elle a eue avec le fournisseur présumé, elle a indiqué qu’elle connaissait le lieu de leur rendez-vous. En l’état, ces éléments permettent de considérer que les soupçons de culpabilité à l’encontre de la recourante sont suffisants pour justifier sa détention provisoire.</w:t>
      </w:r>
    </w:p>
    <w:p>
      <w:r>
        <w:rPr>
          <w:b/>
        </w:rPr>
        <w:t>E. 3.1</w:t>
      </w:r>
    </w:p>
    <w:p>
      <w:r>
        <w:t>Sans revenir sur les risques de fuite et de collusion retenus par le Tribunal des mesures de contrainte, la recourante soutient en substance que sa détention ne reposerait sur aucune base légale et serait contraire au principe de la proportionnalité.</w:t>
      </w:r>
    </w:p>
    <w:p>
      <w:r>
        <w:rPr>
          <w:b/>
        </w:rPr>
        <w:t>E. 3.2</w:t>
      </w:r>
    </w:p>
    <w:p>
      <w:r>
        <w:t>Comme indiqué ci-dessus (c. 2.1), le risque de fuite constitue l’un des motifs de détention provisoire prévus à l’art. 221 al. 1 CPP.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1B_145/2012 du 19 avril 2012, c. 3.1 non publié aux ATF 138 IV 81). La gravité de l’infraction ne peut pas, à elle seule, justifier la prolongation de la détention, même si elle permet souvent de présumer un danger de fuite en raison de l’importance de la peine dont le prévenu est menacé (ibidem).</w:t>
      </w:r>
    </w:p>
    <w:p>
      <w:r>
        <w:rPr>
          <w:b/>
        </w:rPr>
        <w:t>E. 3.3</w:t>
      </w:r>
    </w:p>
    <w:p>
      <w:r>
        <w:t>En l’espèce, la recourante, ressortissante nigériane, n’a aucune attache avec la Suisse, ce qu’elle ne conteste au demeurant pas. Elle y séjourne illégalement depuis que sa demande d’asile a fait l’objet d’une décision d’une non-entrée en matière. Compte tenu par ailleurs des lourdes charges qui pèsent contre elle, le risque de fuite est avéré. Les conditions de l’art. 221 al. 1 CPP étant alternatives (Moreillon/Parein-Reymond, Petit commentaire, Code de procédure pénale, Bâle 2013, n. 7 ad art. 221 CPP), l’existence d’un risque de fuite dispense d’examiner si la détention provisoire s’impose également en raison du risque de collusion. Tout au plus relèvera-t-on que des investigations sont encore en cours pour identifier la personne qui a demandé à la recourante de transporter la drogue et dont elle n’a pas divulgué le nom.</w:t>
      </w:r>
    </w:p>
    <w:p>
      <w:r>
        <w:rPr>
          <w:b/>
        </w:rPr>
        <w:t>E. 4</w:t>
      </w:r>
    </w:p>
    <w:p>
      <w:r>
        <w:t>S’agissant en particulier du principe de la proportionnalité, la recourante affirme qu’une détention provisoire de six mois excéderait la durée de la peine à laquelle elle s’exposerait. Elle estime qu’une peine ferme de six mois serait trop sévère eu égard aux faits qui lui sont reprochés et que les conditions pour qu’un sursis lui soit octroyé seraient en outre réunies.</w:t>
      </w:r>
    </w:p>
    <w:p>
      <w:r>
        <w:rPr>
          <w:b/>
        </w:rPr>
        <w:t>E. 4.1</w:t>
      </w:r>
    </w:p>
    <w:p>
      <w:r>
        <w:t>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4.2</w:t>
      </w:r>
    </w:p>
    <w:p>
      <w:r>
        <w:t>En l’occurrence, la recourante estime elle-même que la drogue qu’elle a transportée représente quelque 36,3 grammes de cocaïne pure. Or, cette quantité représente deux fois plus que le seuil du cas grave au sens de l’art. 19 al. 2 let. a LStup (ATF 138 IV 100 c. 3.2, JT 2013 IV 35), passible d’une peine privative de liberté d’un an au moins. A cela s’ajoute que le trafic auquel elle a participé comporte des ramifications internationales et que plus de 1,6 kilo de cocaïne a été saisi dans le cadre de l’enquête mise en place pour le démanteler. Par conséquent, le principe de la proportionnalité demeure pleinement respecté. Le prononcé éventuel d’un sursis n’est pour le surplus pas pertinent (ATF 133 I 270 c. 3.4.2).</w:t>
      </w:r>
    </w:p>
    <w:p>
      <w:r>
        <w:rPr>
          <w:b/>
        </w:rPr>
        <w:t>E. 5</w:t>
      </w:r>
    </w:p>
    <w:p>
      <w:r>
        <w:t>Il résulte de ce qui précède que le recours, manifestement mal fondé, doit être rejeté sans autres échanges d’écritures. Les frais de la procédure de recours, constitués en l’espèce de l'émolument d'arrêt (art. 422 al. 1 CPP), par 660 fr. (art. 20 al. 1 TFIP [Tarif des frais de procédure et indemnités en matière pénale du 28 septembre 2010; RSV 312.03.1]), et des frais imputables à la défense d'office de la recourante (art. 422 al. 1 et 2 let. a CPP), fixés à 540 fr., plus la TVA par 43 fr. 20, soit à 583 fr. 20 au total, seront mis à la charge de cette dernière,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prononce : I. Le recours est rejeté. II. L'ordonnance du 11 décembre 2014  est confirmée. III. L'indemnité allouée au défenseur d'office de A.________ est fixée à 583 fr. 20 (cinq cent huitante-trois francs et vingt centimes). IV. Les frais du présent arrêt, par 660 fr. (six cent soixante francs), ainsi que l'indemnité due au défenseur d'office de A.________, par 583 fr. 20 (cinq cent huitante-trois francs et vingt centimes), sont mis à la charge de cette dernière. V. Le remboursement à l'Etat de l'indemnité allouée au chiffre III ci-dessus sera exigible pour autant que la situation de A.________ se soit améliorée. VI. Le présent arrêt est exécutoire. Le président :               La greffière : Du L'arrêt qui précède, dont la rédaction a été approuvée à huis clos, est notifié, par l'envoi d'une copie complète, à : - M. Thierry de Mestral, avocat (pour A.________), - Ministère public central, et communiqué à : ‑ M. le Président du Tribunal des mesures de contrainte,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