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1114 vom 18. Dezember 2014</w:t>
      </w:r>
    </w:p>
    <w:p>
      <w:r>
        <w:t>VD Tribunal cantonal, 2014-12-18, FR</w:t>
      </w:r>
    </w:p>
    <w:p>
      <w:r>
        <w:rPr>
          <w:b/>
        </w:rPr>
        <w:t xml:space="preserve">Quelle: </w:t>
      </w:r>
      <w:r>
        <w:t>https://mcp.opencaselaw.ch/entscheid/vd_findinfo_D_cision___2014___1114</w:t>
      </w:r>
    </w:p>
    <w:p>
      <w:r>
        <w:t>FR: VD_FINDINFO Décision / 2014 / 1114 du 18 décembre 2014</w:t>
      </w:r>
    </w:p>
    <w:p>
      <w:r>
        <w:t>IT: VD_FINDINFO Décision / 2014 / 1114 del 18 dicembre 2014</w:t>
      </w:r>
    </w:p>
    <w:p>
      <w:pPr>
        <w:pStyle w:val="Heading2"/>
      </w:pPr>
      <w:r>
        <w:t>Regeste</w:t>
      </w:r>
    </w:p>
    <w:p>
      <w:r>
        <w:t>RISQUE DE COLLUSION, RISQUE DE RÉCIDIVE, PROPORTIONNALITÉ, DÉTENTION PROVISOIRE | 221 al. 1 let. b CPP (CH),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2.2</w:t>
      </w:r>
    </w:p>
    <w:p>
      <w:r>
        <w:t>En l’espèce, lors de son audition par la police, le recourant a lui-même admis l’existence de nombreux conflits avec sa compagne sous forme de disputes verbales et physiques (P. 5, p. 6). Ce fait est corroboré par R.________, voisine du couple, qui parle de cris, de pleurs et d’objets cassés (P. 5, p. 7). Elle a ajouté avoir vu la victime partir en pleurs après chaque dispute et avoir vu à une occasion des tuméfactions sur son visage. S’agissant du soir en question, la police a été informée par R.________ du fait qu’un couple se battait dans la rue (P. 4, p. 3). Le recourant admet avoir passé la soirée avec sa compagne et s’être à nouveau disputé avec elle. Il affirme cependant l’avoir uniquement repoussée dans l’ascenseur et l’avoir blessée au nez (P. 5, p. 6 ; PV d’audition d’arrestation, p. 2). Or, la victime a été retrouvée allongée par terre, sur le dos, visiblement sonnée avec des lésions sanguinolentes à la bouche (P. 4, p. 3). Les ambulanciers ont en outre diagnostiqué une vraisemblable fracture du tibia et du péroné. En l’état, la version du prévenu n’est donc pas crédible. Pour le reste, la voisine affirme que les intéressés ont emménagé ensemble il y a trois ans (P. 5, p. 7). Elle laisse également entendre que la victime revenait après chaque dispute. Il n’y a pas d’élément permettant de considérer qu’ils ne faisaient pas ménage commun. Il existe donc suffisamment d’éléments pour soupçonner à tout le moins des lésions corporelles simples au sens de l’art. 123 ch. 2 CP. Par ailleurs, contrairement à ce que prétend le recourant, l’absence de plainte n’est pas décisive, alors que la victime est hospitalisée et pour l’instant inaudible.</w:t>
      </w:r>
    </w:p>
    <w:p>
      <w:r>
        <w:rPr>
          <w:b/>
        </w:rPr>
        <w:t>E. 3.1</w:t>
      </w:r>
    </w:p>
    <w:p>
      <w:r>
        <w:t>Le recourant conteste le risque de collusion (art. 221 al. 1 let. b CPP).</w:t>
      </w:r>
    </w:p>
    <w:p>
      <w:r>
        <w:rPr>
          <w:b/>
        </w:rPr>
        <w:t>E. 3.2</w:t>
      </w:r>
    </w:p>
    <w:p>
      <w:r>
        <w:t>En l’espèce, le Ministère public a indiqué dans sa demande de détention provisoire que B.________ devait encore être entendue sur les faits de la cause et être confrontée aux déclarations du recourant. Le prévenu conteste les faits et il est primordial d’empêcher tout contact entre lui et la victime. En outre, il faudra vraisemblablement entendre d’autres habitants de l’immeuble. Au vu de ce qui précède, le risque de collusion s'oppose en l’état à la levée de la détention provisoire du recourant.</w:t>
      </w:r>
    </w:p>
    <w:p>
      <w:r>
        <w:rPr>
          <w:b/>
        </w:rPr>
        <w:t>E. 4.1</w:t>
      </w:r>
    </w:p>
    <w:p>
      <w:r>
        <w:t>Le recourant conteste le risque de récidive (art. 221 al. 1 let. c CPP).</w:t>
      </w:r>
    </w:p>
    <w:p>
      <w:r>
        <w:rPr>
          <w:b/>
        </w:rPr>
        <w:t>E. 4.2</w:t>
      </w:r>
    </w:p>
    <w:p>
      <w:r>
        <w:t>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w:t>
      </w:r>
    </w:p>
    <w:p>
      <w:r>
        <w:rPr>
          <w:b/>
        </w:rPr>
        <w:t>E. 4.3</w:t>
      </w:r>
    </w:p>
    <w:p>
      <w:r>
        <w:t>En l’espèce, malgré un casier judiciaire vierge, le recourant a admis l’existence de fréquents conflits, verbaux et physiques, avec la victime. Ce fait est confirmé par le témoin R.________. Cette dernière a également attesté de la nature agressive du recourant (P. 5, p. 7). Dans ces conditions et à ce stade de l’enquête, le risque de réitération est réalisé.</w:t>
      </w:r>
    </w:p>
    <w:p>
      <w:r>
        <w:rPr>
          <w:b/>
        </w:rPr>
        <w:t>E. 4.4</w:t>
      </w:r>
    </w:p>
    <w:p>
      <w:r>
        <w:t>Par ailleurs, au vu de la situation personnelle du recourant, aucune mesure de substitution n’est à même de prévenir les risques retenus. En particulier, une interdiction de périmètre n’est pas envisageable pour les autres habitants de l’immeuble qui devront sans doute encore être entendus et ne prévient en outre pas le risque de récidive. Le maintien de S.________ en détention provisoire est ainsi justifié.</w:t>
      </w:r>
    </w:p>
    <w:p>
      <w:r>
        <w:rPr>
          <w:b/>
        </w:rPr>
        <w:t>E. 5.1</w:t>
      </w:r>
    </w:p>
    <w:p>
      <w:r>
        <w:t>Le recourant invoque une violation du principe de la proportionnalité (art. 212 al. 3 CPP).</w:t>
      </w:r>
    </w:p>
    <w:p>
      <w:r>
        <w:rPr>
          <w:b/>
        </w:rPr>
        <w:t>E. 5.2</w:t>
      </w:r>
    </w:p>
    <w:p>
      <w:r>
        <w:t>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5.3</w:t>
      </w:r>
    </w:p>
    <w:p>
      <w:r>
        <w:t>En l’espèce, S.________ est détenu depuis le 16 novembre 2014, soit depuis un peu plus d’un mois. L’audition de la victime devrait apporter des éclaircissements quant au déroulement des faits et à l’existence de la vie commune du couple et sera dès lors décisive, en l’absence ou non du dépôt d’une plainte, quant au maintien du recourant en détention provisoire. Ainsi, afin de respecter le principe de la proportionnalité, il convient, à ce stade, de limiter la durée de la détention provisoire à deux mois, au lieu des trois mois prononcés par le Tribunal des mesures de contrainte.</w:t>
      </w:r>
    </w:p>
    <w:p>
      <w:r>
        <w:rPr>
          <w:b/>
        </w:rPr>
        <w:t>E. 6</w:t>
      </w:r>
    </w:p>
    <w:p>
      <w:r>
        <w:t>Il résulte de ce qui précède que le recours doit être partiellement admis et l’ordonnance attaquée réformée dans le sens des considérants qui précèdent. Les frais de la procédure de recours, constitués en l’espèce de l’émolument d'arrêt, par 770 fr. (art. 20 al. 1 TFIP [Tarif des frais de procédure et indemnités en matière pénale du 28 septembre 2010 ; RSV 312.03.1]), ainsi que des frais imputables à la défense d’office, fixés à 630 fr., plus la TVA par 50 fr. 40, soit 680 fr. 40, seront mis par moitié à la charge de S.________, qui succombe en partie (art. 428 al. 1 CPP), le solde étant laissé à la charge de l’Etat (art. 423 al. 1 CPP). Le remboursement à l’Etat de la moitié de l'indemnité allouée au défenseur d’office de S.________ ne sera toutefois exigible que pour autant que la situation économique de ce dernier se soit améliorée (art. 135 al. 4 CPP). Par ces motifs, la Chambre des recours pénale prononce : I. Le recours est partiellement admis. II. L’ordonnance du 18 novembre 2014 est réformée à son chiffre II en ce sens que la durée maximale de la détention provisoire est fixée à deux mois, soit au plus tard jusqu’au 16 janvier 2015. III. L'indemnité allouée au défenseur d'office de S.________ est fixée à 680 fr. 40 (six cent huitante francs et quarante centimes). IV. Les frais d'arrêt, par 770 fr. (sept cent septante francs), ainsi que l'indemnité due au défenseur d'office de S.________, par 680 fr. 40 (six cent huitante francs et quarante centimes), sont mis par moitié, soit par 728 fr. 70 (sept cent vingt-huit francs et septante centimes), à la charge de ce dernier, le solde étant laissé à la charge de l'Etat. V. Le remboursement à l'Etat de la moitié de l'indemnité allouée au chiffre III ci-dessus sera exigible pour autant que la situation économique de S.________ se soit améliorée. VI. Le présent arrêt est exécutoire. Le président :               La greffière : Du Le présent arrêt, dont la rédaction a été approuvée à huis clos, est notifié, par l'envoi d'une copie complète, à : - M. Alexandre Reil, avocat (pour S.________), - Ministère public central, et communiqué à : ‑ M. le Président du Tribunal des mesures de contrainte,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