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1106 vom 16. Dezember 2014</w:t>
      </w:r>
    </w:p>
    <w:p>
      <w:r>
        <w:t>VD Tribunal cantonal, 2014-12-16, FR</w:t>
      </w:r>
    </w:p>
    <w:p>
      <w:r>
        <w:rPr>
          <w:b/>
        </w:rPr>
        <w:t xml:space="preserve">Quelle: </w:t>
      </w:r>
      <w:r>
        <w:t>https://mcp.opencaselaw.ch/entscheid/vd_findinfo_D_cision___2014___1106</w:t>
      </w:r>
    </w:p>
    <w:p>
      <w:r>
        <w:t>FR: VD_FINDINFO Décision / 2014 / 1106 du 16 décembre 2014</w:t>
      </w:r>
    </w:p>
    <w:p>
      <w:r>
        <w:t>IT: VD_FINDINFO Décision / 2014 / 1106 del 16 dicembre 2014</w:t>
      </w:r>
    </w:p>
    <w:p>
      <w:pPr>
        <w:pStyle w:val="Heading2"/>
      </w:pPr>
      <w:r>
        <w:t>Regeste</w:t>
      </w:r>
    </w:p>
    <w:p>
      <w:r>
        <w:t>NON-LIEU, PLAINTE PÉNALE, CONTRAINTE{DROIT PÉNAL}, TENTATIVE{DROIT PÉNAL}, INJURE | 177 CP, 22 ad 181 CP, 30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l'ordonnance attaquée a été notifiée au plaignant le 13 octobre 2014 (PV des opérations, p. 2) et reçue par ce dernier le lendemain. Déposé le 24 octobre 2014 auprès de l’autorité compétente, par le plaignant qui a qualité pour recourir (cf. art. 382 al. 1 CPP) et interjeté de surcroît dans les formes prescrites (art. 385 al. 1 CPP), le recours est recevable.</w:t>
      </w:r>
    </w:p>
    <w:p>
      <w:r>
        <w:rPr>
          <w:b/>
        </w:rPr>
        <w:t>E. 2</w:t>
      </w:r>
    </w:p>
    <w:p>
      <w:r>
        <w:t>e éd., 2013, n. 1 des remarques préliminaires à l’art. 173 CP; ATF 71 IV 187 c. 2 p. 188 ; TF 6B_333/2008 du 9 mars 2009 c. 1.3). Par ailleurs, si l’auteur, évoquant une conduite contraire à l’honneur ou un autre fait propre à porter atteinte à la considération, ne s’adresse qu’à la personne visée elle-même, la qualification de diffamation ou de calomnie est exclue si on admet, en raison de la subsidiarité, que la communication constitue une injure (Corboz, op. cit., n. 20 ad art. 177 CP).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 133 IV 308 c. 8.5.1 p. 312; ATF 128 IV 53 c. 1a p. 58; ATF 119 IV 44 c. 2a p. 47). Sur le plan subjectif, l’injure suppose l’intention. L’auteur doit vouloir ou accepter que son message soit attentatoire à l’honneur et qu’il soit communiqué à la victime (ATF 117 IV 270 c. 2b p. 272; TF 6B_557/2013 du 12 septembre 2013).</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2.2</w:t>
      </w:r>
    </w:p>
    <w:p>
      <w:r>
        <w:t>En l'espèce, le recourant ne conteste pas l'appréciation du Procureur selon laquelle les éléments constitutifs des infractions de diffamation et de calomnie ne sont pas réalisés. Il soutient en revanche que le Procureur aurait dû qualifier d'office les faits dénoncés et qu'il aurait dû y voir des injures et une tentative de contrainte. On relèvera d'emblée que, s'il est vrai que la qualification juridique des faits faisant l'objet de la plainte relève de la compétence des autorités pénales saisies, qui ne sont aucunement liées par l'opinion de l'intéressé (ATF 115 IV 1 c. 2a, JT 1990 IV 109), le fait, pour un plaignant assisté d'un conseil, de déposer plainte pour diffamation et calomnie, puis de recourir contre l'ordonnance de non-entrée en matière en constatant à juste titre que les conditions de ces infractions ne sont pas réalisées, mais en soutenant que la plainte viserait en réalité les injures et la tentative de contrainte, est critiquable, voire même à la limite de l'abus de droit. Ce nonobstant, on ne peut, en l'occurrence, déduire de la plainte déposée par A.________ que celui-ci ait renoncé, même par actes concluants, à demander la poursuite d’autres infractions (Dupuis et al., Petit Commentaire du Code de pénal, Bâle 2012, n. 5 ad art. 30 CP ; ATF 115 IV 1 c. 2b précité, JT 1990 IV 109). Il y donc lieu d'examiner si les faits dénoncés par A.________ pourraient être constitutifs d’injure ou de tentative de contrainte, comme il l’invoque.</w:t>
      </w:r>
    </w:p>
    <w:p>
      <w:r>
        <w:rPr>
          <w:b/>
        </w:rPr>
        <w:t>E. 2.3.1</w:t>
      </w:r>
    </w:p>
    <w:p>
      <w:r>
        <w:t>Se rend coupable d’injure celui qui aura, par la parole, l’écriture, l’image, le geste ou par des voies de fait, attaqué autrui dans son honneur (art. 177 CP). L’honneur que protège l’art. 177 CP est le sentiment et la réputation d’être une personne honnête et respectable (ATF 132 IV 112 c. 2.1 p. 115; ATF 128 IV 53 c. 1a p. 58). L’injure peut consister en la formulation d’un jugement de valeur offensant, mettant en doute l’honnêteté, la loyauté ou la moralité d’une personne de manière à la rendre méprisable en tant qu’être humain ou entité juridique (Corboz, Les infractions en droit suisse, vol. I, 3 e éd., 2010, nn. 10 s. ad art. 177 CP), ou celui d’une injure formelle, lorsque l’auteur a, en une forme répréhensible, témoigné son mépris à l’égard de la personne visée et l’a attaquée dans le sentiment qu’elle a de sa propre dignité (Logoz, Commentaire du code pénal suisse, partie spéciale I, 1955, n. 2 ad art. 177 CP ; Corboz, op. cit., n. 14 ad art. 177 CP). La marque du mépris doit revêtir une certaine gravité, excédant ce qui est acceptable (Dupuis et al., op. cit., n. 13 ad art. 177 CP; Corboz, op. cit., n. 18 ad art. 177 CP; Riklin, in Niggli/Wiprächtiger (éd.), Basler Kommentar, Strafrecht II, 3 e éd., Bâle 2013, n. 4 ad art. 177 CP; Trechsel/Lieber, Schweizerisches Strafgesetzbuch, Praxiskommentar,</w:t>
      </w:r>
    </w:p>
    <w:p>
      <w:r>
        <w:rPr>
          <w:b/>
        </w:rPr>
        <w:t>E. 2.3.2</w:t>
      </w:r>
    </w:p>
    <w:p>
      <w:r>
        <w:t>En l'espèce, il est reproché aux époux J.________ d'avoir, dans leurs courriers des 12 et 19 juin 2014 – pour autant qu'il en soient les véritables auteurs – tenu notamment les propos suivants à l'encontre de A.________, s'agissant de la gestion et de l'administration de la PPE : "(…) 3 personnes, dont vous êtes, nous ont trompés gravement en occultant les réalités physiques de salubrité, de construction de ce bâtiment (…), votre manque de courage et voire absence de bonne foi vous poussaient à révéler des mensonges pour agir selon vos propres choix (…), cette manière d'agir provient directement de la dictature et manifeste de votre part un chantage obsessionnel (…), vous avez été au paroxysme de l'injure en nous disant 'vous me faites chier' (…), si vous imaginez que le chantage que vous mettez présentement en place pour que votre soif de domination malsaine nous fasse vaciller (…) je vous pris de croire que vous n'y arriverez pas (…), peut-être n'aviez-vous pas le souvenir car par un artifice malicieux vous avez fait payer la facture par les autres (…), quel rôle avez-vous joué dans cette affaire sinon de nous tromper autant que votre complice pour nous spolier et nous pousser dans un guet-apens financier de premier ordre" (P. 4/2) ; "il s'agit d'un abus de position dominante, de discrimination, de favoritisme et d'abus de confiance (…)" (P. 4/3, p. 1 in fine ) ; "cette manifestation plurielle de vous justifier en divulguant vos propos à toutes les personnes habitant ici représente un acte de malveillance, d'incitation au dégoût de l'autre, à la dégradation de l'individu lésé et n'est rien d'autre qu'une calomnie et une atteinte à l'honneur" (P. 4/4, p. 2). Ces allégations, soit, en particulier, le fait d'accuser le recourant d'avoir agi malicieusement, de les avoir trompés, voire escroqués, lors de l'achat de leur appartement en leur cachant notamment que d'importants travaux avaient été effectués dans les caves de l'immeuble en 2002, de les avoir insultés en présence d'autres copropriétaires et de les avoir calomniés, reviennent à prêter au plaignant un comportement moralement répréhensible et à porter ainsi atteinte à son honneur. On doit donc admettre avec le recourant que les éléments constitutifs de l’infraction d'injure au sens de l'art. 177 CP ne peuvent pas d’emblée être écartés. Une instruction doit être ouverte concernant les faits dénoncés. Le recourant reproche en outre à C.J.________ de l'avoir "agressé verbalement" lors d'une assemblée ordinaire des copropriétaires tenue le 12 février 2014, ainsi qu'en avril 2014, en présence de [...] et d'une autre copropriétaire (P. 4/1, p. 1). On ignore toutefois les propos exacts que l'intimé aurait tenus à l'encontre du plaignant à ces deux occasions. Il appartiendra le cas échéant au Procureur d'instruire plus avant cette question, au besoin par l'audition de la copropriétaire mentionnée par le plaignant (P. 4/1, p. 2).</w:t>
      </w:r>
    </w:p>
    <w:p>
      <w:r>
        <w:rPr>
          <w:b/>
        </w:rPr>
        <w:t>E. 2.4.1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 ATF 129 IV 6 c. 3.4 ;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 ATF 120 IV 17 c. 2a/aa). Sur le plan subjectif, il faut que l’auteur ait agi avec conscience et volonté, soit au moins qu’il ait accepté l’éventualité que le procédé illicite employé entrave le destinataire dans sa liberté de décision (ATF 120 IV 17 c. 2c ; TF 6B_38/2011 du 26 avril 2011 c. 2.2.1).</w:t>
      </w:r>
    </w:p>
    <w:p>
      <w:r>
        <w:rPr>
          <w:b/>
        </w:rPr>
        <w:t>E. 2.4.2</w:t>
      </w:r>
    </w:p>
    <w:p>
      <w:r>
        <w:t>En l'espèce, il est reproché à C.J.________ d'avoir écrit à A.________ la phrase suivante : "Par conséquent, si je ne reçois de votre part, d'ici le 30 juin 2014, une lettre d'excuses de vos propos, en faveur de mon couple je ferai parvenir les deux lettres de 10 pages dont vous leur parlez dans votre mail ainsi qu'à votre collègue administrateur" (P. 4/4, p. 2). Or, il n'est pas d'emblée exclu, dans les circonstances du cas concret et compte tenu du litige qui oppose les parties, que le fait de menacer le recourant d'adresser aux autres copropriétaires de l'immeuble et à son "collègue administrateur" deux lettres auxquelles le plaignant ferait référence dans l'un de ses courriels ait pu être propre à l'impressionner au point de l'entraver dans sa liberté de décision ou d'action. On ne saurait dès lors exclure à ce stade que l’infraction de contrainte, à tout le moins la tentative de contrainte si le résultat escompté ne s'est pas produit, soit réalisée. Une instruction doit être ouverte concernant les faits dénoncés, en vue notamment d'établir le contenu des deux lettres et du courriel susmentionnés.</w:t>
      </w:r>
    </w:p>
    <w:p>
      <w:r>
        <w:rPr>
          <w:b/>
        </w:rPr>
        <w:t>E. 3.1</w:t>
      </w:r>
    </w:p>
    <w:p>
      <w:r>
        <w:t>En définitive, le recours doit être admis, l'ordonnance attaquée annulée et le dossier de la cause renvoyé au Ministère public de l'arrondissement du Nord vaudois pour qu’il procède dans le sens des considérants.</w:t>
      </w:r>
    </w:p>
    <w:p>
      <w:r>
        <w:rPr>
          <w:b/>
        </w:rPr>
        <w:t>E. 3.2</w:t>
      </w:r>
    </w:p>
    <w:p>
      <w:r>
        <w:t>Les frais de la procédure de recours, constitués du seul émolument d'arrêt, par 880 fr. (art. 20 al. 1 TFIP [Tarif des frais de procédure et indemnités en matière pénale du 28 septembre 2010, RSV 312.03.1]), seront laissés à la charge de l'Etat (art. 428 al. 1 CPP).</w:t>
      </w:r>
    </w:p>
    <w:p>
      <w:r>
        <w:rPr>
          <w:b/>
        </w:rPr>
        <w:t>E. 3.3</w:t>
      </w:r>
    </w:p>
    <w:p>
      <w:r>
        <w:t>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4 octobre 2014 est annulée. III. Le dossier de la cause est renvoyé au Ministère public de l'arrondissement du Nord vaudois pour qu’il procède dans le sens des considérants. IV. Les frais d'arrêt, par 880 fr. (huit cent huitante francs), sont laissés à la charge de l’Etat. V. Le présent arrêt est exécutoire. Le président :               Le greffier : Du Le présent arrêt, dont la rédaction a été approuvée à huis clos, est notifié, par l'envoi d'une copie complète, à : - Mme Flore Primault, avocate (pour 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