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1104 vom 21. Oktober 2014</w:t>
      </w:r>
    </w:p>
    <w:p>
      <w:r>
        <w:t>VD Tribunal cantonal, 2014-10-21, FR</w:t>
      </w:r>
    </w:p>
    <w:p>
      <w:r>
        <w:rPr>
          <w:b/>
        </w:rPr>
        <w:t xml:space="preserve">Quelle: </w:t>
      </w:r>
      <w:r>
        <w:t>https://mcp.opencaselaw.ch/entscheid/vd_findinfo_D_cision___2014___1104</w:t>
      </w:r>
    </w:p>
    <w:p>
      <w:r>
        <w:t>FR: VD_FINDINFO Décision / 2014 / 1104 du 21 octobre 2014</w:t>
      </w:r>
    </w:p>
    <w:p>
      <w:r>
        <w:t>IT: VD_FINDINFO Décision / 2014 / 1104 del 21 ottobre 2014</w:t>
      </w:r>
    </w:p>
    <w:p>
      <w:pPr>
        <w:pStyle w:val="Heading2"/>
      </w:pPr>
      <w:r>
        <w:t>Regeste</w:t>
      </w:r>
    </w:p>
    <w:p>
      <w:r>
        <w:t>CLASSEMENT DE LA PROCÉDURE, PLAINTE PÉNALE, INSOUMISSION À UNE DÉCISION DE L'AUTORITÉ, ENLÈVEMENT DE MINEUR{INFRACTION}, NATURE JURIDIQUE | 220 CP, 292 CP</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 recourant ne conteste pas, à juste titre, l'appréciation du Ministère public selon laquelle les éléments constitutifs de l’infraction d’insoumission à une décision de l'autorité ne sont pas réalisés. L’ordonnance de classement doit par conséquent être confirmée en ce qui concerne cette infraction.</w:t>
      </w:r>
    </w:p>
    <w:p>
      <w:r>
        <w:rPr>
          <w:b/>
        </w:rPr>
        <w:t>E. 4.1</w:t>
      </w:r>
    </w:p>
    <w:p>
      <w:r>
        <w:t>Le recourant soutient en revanche que sa plainte aurait également dû être instruite pour enlèvement de mineur au sens de l’art. 220 CP.</w:t>
      </w:r>
    </w:p>
    <w:p>
      <w:r>
        <w:rPr>
          <w:b/>
        </w:rPr>
        <w:t>E. 4.2</w:t>
      </w:r>
    </w:p>
    <w:p>
      <w:r>
        <w:t>Cette infraction se poursuivant uniquement sur plainte, il y a lieu d’examiner le contenu de la plainte déposée par le recourant.</w:t>
      </w:r>
    </w:p>
    <w:p>
      <w:r>
        <w:rPr>
          <w:b/>
        </w:rPr>
        <w:t>E. 4.2.1</w:t>
      </w:r>
    </w:p>
    <w:p>
      <w:r>
        <w:t>Selon le Tribunal fédéral et la doctrine, la qualification juridique des faits n’incombe pas au plaignant mais aux autorités de poursuite (Dupuis et alii, Petit commentaire du Code pénal, Bâle 2012, n. 4 ad art. 30 CP ; Stoll, in : Roth/Moreillon [éd.], Commentaire romand, Code pénal I, Bâle 2009, n. 10 ad art. 30 CP ; ATF 115 IV 1 c. 2b, JT 1990 IV 109). Une qualification juridique inexacte ne rend pas non plus la plainte invalide, puisqu’elle ne lie pas les autorités de poursuite (Stoll, op. cit.). Néanmoins, dans certaines circonstances, le fait d’insister sur une qualification juridique particulière plutôt qu’une autre peut avoir certaines conséquences quant à l’interprétation de la portée de la plainte. Ainsi, par exemple, on doit partir du principe qu’une plainte pour dénonciation calomnieuse au sens de l’art. 303 CP englobe également une atteinte à l’honneur au sens des art. 173 ss CP. Toutefois, si le plaignant se limite à invoquer expressément l’art. 303 CP, alors que l’autorité de police a attiré son attention sur la nécessité de préciser s’il entendait étendre sa plainte à la diffamation, l’autorité doit interpréter son silence comme exprimant sa volonté de limiter sa plainte à la dénonciation calomnieuse (Dupuis et alii, op. cit., n. 5 ad art. 30 CP; Stoll, ibidem).</w:t>
      </w:r>
    </w:p>
    <w:p>
      <w:r>
        <w:rPr>
          <w:b/>
        </w:rPr>
        <w:t>E. 4.2.2</w:t>
      </w:r>
    </w:p>
    <w:p>
      <w:r>
        <w:t>En l’espèce, dans sa plainte du 4 juillet 2014, le recourant a expliqué que A.B.________ l’avait privé, le 28 juin 2014, de son droit de visite sur leur fille B.B.________, sur laquelle il exerce l’autorité parentale conjointe. Ainsi, les faits dénoncés par N.________ pourraient effectivement être constitutifs d’enlèvement de mineur au sens de l’art. 220 CP.</w:t>
      </w:r>
    </w:p>
    <w:p>
      <w:r>
        <w:rPr>
          <w:b/>
        </w:rPr>
        <w:t>E. 4.3.1</w:t>
      </w:r>
    </w:p>
    <w:p>
      <w:r>
        <w:t>Selon l’ancien art. 220 CP, dans sa teneur en vigueur jusqu’au 1 er janvier 2013, celui qui aura soustrait ou refusé de remettre un mineur à la personne qui exerce l’autorité parentale ou la tutelle sera, sur plainte, puni d’une peine privative de liberté de trois ans au plus ou d’une peine pécuniaire. Pour que l'infraction d’enlèvement de mineur soit réalisée, plusieurs conditions objectives doivent être remplies, à savoir un auteur, une soustraction ou un refus de remettre un mineur, ainsi qu’une victime. L'enlèvement suppose ainsi soit une soustraction du mineur à la personne qui exerce l'autorité parentale, soit le refus de remettre l'enfant à cette personne ou autrement dit l’empêchement de l’exécution de la réglementation d’un droit de visite (Corboz, Les infractions en droit suisse, vol. I, Berne 2010, nn. 32 ss et 36 ss ad art. 220 CP; ATF 136 III 353, JT 2010 I 491). L'auteur de l'infraction peut être l'un des deux parents, s'il n'exerce pas ou pas seul l'autorité parentale (ATF 126 IV 221 c. 1c; TF 6S.538/2000 du 14 décembre 2000 c. 1c/aa; ATF 95 IV 68; Corboz, op. cit., n. 30 ad art. 220 CP). L’art. 220 CP ne protège pas le droit de visite comme tel mais bien la réglementation de ce droit fixée par le tribunal (ATF 136 III 353, JT 2010 I 491 c. 3.4). Enfin, cette infraction est un délit intentionnel ; le dol éventuel suffit (Corboz, op. cit., n. 46 ad art. 220 CP).</w:t>
      </w:r>
    </w:p>
    <w:p>
      <w:r>
        <w:rPr>
          <w:b/>
        </w:rPr>
        <w:t>E. 4.3.2</w:t>
      </w:r>
    </w:p>
    <w:p>
      <w:r>
        <w:t>Cette disposition a été modifiée par le nouveau droit de protection de l’adulte, droit des personnes et droit de la filiation (cf. Message du Conseil fédéral relatif au code de procédure civile suisse du 28 juin 2006, FF 2006 p. 6635). Dans sa teneur en vigueur du 1 er janvier 2013 au 30 juin 2014, l’art. 220 CP prescrivait que celui qui aura soustrait ou refusé de remettre un mineur au détenteur du droit de garde sera, sur plainte, puni d’une peine privative de liberté de trois ans au plus ou d’une peine pécuniaire.</w:t>
      </w:r>
    </w:p>
    <w:p>
      <w:r>
        <w:rPr>
          <w:b/>
        </w:rPr>
        <w:t>E. 4.3.3</w:t>
      </w:r>
    </w:p>
    <w:p>
      <w:r>
        <w:t>L’art. 220 CP a été une nouvelle fois modifié lors de la révision du droit de l’autorité parentale (cf. Message du Conseil fédéral concernant une modification du Code civil suisse [Autorité parentale], FF 2011 pp. 8315 ss). Aux termes de l’art. 220 CP, dans sa teneur en vigueur depuis le 1 er juillet 2014, celui qui aura soustrait ou refusé de remettre un mineur au détenteur du droit de déterminer le lieu de résidence sera, sur plainte, puni d'une peine privative de liberté de trois ans au plus ou d'une peine pécuniaire. Il ressort du Message du Conseil fédéral que contrairement à l’avant-projet, le projet ne prévoit plus de sanctionner spécifiquement l’empêchement d’exercer le droit de visite et que seul demeure applicable l’art. 220 CP actuel, qui punit l’enlèvement de mineur (cf. FF 2011 pp. 8333 s.). Selon le nouveau droit de l’autorité parentale, les deux parents qui exercent l’autorité parentale sont ensemble les détenteurs du droit de déterminer le lieu de résidence de leur enfant (cf. art. 301a CC ; Schwenzer/Cottier, Baslerkommentar, Zivilgesetzbuch I, 5 e éd., Bâle 2014, n. 4 ad art. 301a CC). Les principes valant sous l’ancien art. 220 CP prévalent par conséquent toujours.</w:t>
      </w:r>
    </w:p>
    <w:p>
      <w:r>
        <w:rPr>
          <w:b/>
        </w:rPr>
        <w:t>E. 4.4</w:t>
      </w:r>
    </w:p>
    <w:p>
      <w:r>
        <w:t>En l’espèce, N.________ et A.B.________ ont l’autorité parentale conjointe sur leur enfant B.B.________. Ils peuvent donc être l’un et l’autre auteurs et victimes au sens de l’art. 220 CP. De plus, le recourant soutient avoir été empêché d’exercer son droit de visite sur sa fille le 28 juin 2014, en violation des conventions passées entre les parties les 31 août 2011 et 8 juillet 2013, ratifiées le 14 septembre 2011, respectivement le 17 juillet 2013, par la Justice de Paix du district de l’Ouest lausannois (cf. P. 6 et 10/2). Ces différents éléments suffisent pour justifier l’ouverture d’une instruction pour enlèvement de mineur. C’est donc à tort que le Ministère public n’est, implicitement, pas entré en matière sur ce point.</w:t>
      </w:r>
    </w:p>
    <w:p>
      <w:r>
        <w:rPr>
          <w:b/>
        </w:rPr>
        <w:t>E. 5</w:t>
      </w:r>
    </w:p>
    <w:p>
      <w:r>
        <w:t>En définitive, le recours doit être admis, l'ordonnance confirmée en tant qu'elle ordonne le classement de la procédure pénale dirigée contre A.B.________ pour insoumission à une décision de l'autorité, mais annulée en tant qu'elle contient une non-entrée en matière implicite sur l'infraction d'enlèvement de mineur. Le dossier de la cause sera renvoyé au Ministère public de l'arrondissement de Lausanne pour qu’il procède dans le sens des considérants. Les frais de la procédure de recours, constitués du seul émolument d'arrêt, par 770 fr. (art. 20 al. 1 TFIP [Tarif des frais de procédure et indemnités en matière pénale du 28 septembre 2010, RSV 312.03.1]), seront mis à la charge de A.B.________, qui a conclu au rejet du recours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6 août 2014 est confirmée en tant qu'elle ordonne le classement de la procédure pénale dirigée contre A.B.________ pour insoumission à une décision de l'autorité, mais annulée en tant qu'elle contient une non-entrée en matière implicite sur l'infraction d'enlèvement de mineur. III. Le dossier de la cause est renvoyé au Ministère public de l'arrondissement de Lausanne pour qu’il procède dans le sens des considérants. IV. Les frais d'arrêt, par 770 fr. (sept cent septante francs), sont mis à la charge de A.B.________. V. Le présent arrêt est exécutoire. Le président :               La greffière : Du Le présent arrêt, dont la rédaction a été approuvée à huis clos, est notifié, par l'envoi d'une copie complète, à : - M. Christian Jaccard, avocat (pour N.________), - M. Gilles Miauton, avocat (pour A.B.________),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