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1093 vom 10. September 2014</w:t>
      </w:r>
    </w:p>
    <w:p>
      <w:r>
        <w:t>VD Tribunal cantonal, 2014-09-10, FR</w:t>
      </w:r>
    </w:p>
    <w:p>
      <w:r>
        <w:rPr>
          <w:b/>
        </w:rPr>
        <w:t xml:space="preserve">Quelle: </w:t>
      </w:r>
      <w:r>
        <w:t>https://mcp.opencaselaw.ch/entscheid/vd_findinfo_D_cision___2014___1093</w:t>
      </w:r>
    </w:p>
    <w:p>
      <w:r>
        <w:t>FR: VD_FINDINFO Décision / 2014 / 1093 du 10 septembre 2014</w:t>
      </w:r>
    </w:p>
    <w:p>
      <w:r>
        <w:t>IT: VD_FINDINFO Décision / 2014 / 1093 del 10 settembre 2014</w:t>
      </w:r>
    </w:p>
    <w:p>
      <w:pPr>
        <w:pStyle w:val="Heading2"/>
      </w:pPr>
      <w:r>
        <w:t>Regeste</w:t>
      </w:r>
    </w:p>
    <w:p>
      <w:r>
        <w:t>CLASSEMENT DE LA PROCÉDURE, FRAIS{EN GÉNÉRAL} | 319 CPP (CH), 426 al. 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la qualité pour recourir (art. 382 al. 1 CPP), le recours est recevable.</w:t>
      </w:r>
    </w:p>
    <w:p>
      <w:r>
        <w:rPr>
          <w:b/>
        </w:rPr>
        <w:t>E. 1.2</w:t>
      </w:r>
    </w:p>
    <w:p>
      <w:r>
        <w:t>Le recours de S.________ ne portant pas sur le classement de la procédure, mais uniquement sur la mise à sa charge de la moitié des frais de procédure, par 1'289 fr. 60, lesquels constituent une conséquence économique accessoire d'une décision (cf. Guidon, in : Niggli/Heer/Wiprächtiger [éd.], Basler Kommentar, Schweizerische Strafprozessordnung, Jugendstrafprozessordnung, 2 e éd., Bâle 4 n. 5 ad art. 395 CPP ; Juge unique CREP 23 octobre 2013/643), l’art. 395 al. 1 let. b CPP est applicable. Vu la valeur litigieuse en cause, en l’occurrence inférieure au montant de 5'000 fr., le recours relève de la compétence du Juge unique de la Chambre des recours pénale (cf. art. 395 al. 1 let. b CPP et art. 13 al. 2 LVCPP [loi d’introduction du Code de procédure pénale suisse; RSV 312.01]; cf. entre autres CREP 7 janvier 2014/7).</w:t>
      </w:r>
    </w:p>
    <w:p>
      <w:r>
        <w:rPr>
          <w:b/>
        </w:rPr>
        <w:t>E. 2.1</w:t>
      </w:r>
    </w:p>
    <w:p>
      <w:r>
        <w:t>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Code de procédure pénale suisse, Commentaire romand, Bâle 2011, n. 2 ad art. 426 CPP) – et a provoqué ainsi l'ouverture d'une enquête pénale ou compliqué celle-ci (TF 6B_87/2012 du 27 avril 2012 c. 1.2; ATF 116 Ia 162 c. 2d et 2e).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TF 1B_12/2012 du 20 février 2012 c. 2; CREP 16 septembre 2013/578 c. 2a et les références citées). A cet égard, la prescription, comme motif de libération, n’est pas incompatible avec la condamnation aux frais du prévenu, mais celle-ci ne doit pas se fonder sur le reproche pénal (Domeisen, in : Niggli/Heer/Wiprächtiger [éd.], op. cit., n. 38 ad art. 426 CPP et la réf. cit. ; CREP 5 octobre 2012/644).</w:t>
      </w:r>
    </w:p>
    <w:p>
      <w:r>
        <w:rPr>
          <w:b/>
        </w:rPr>
        <w:t>E. 2.2</w:t>
      </w:r>
    </w:p>
    <w:p>
      <w:r>
        <w:t>En l’espèce, il résulte de l’audition du recourant du 15 octobre 2013 qu’il « connaît beaucoup de monde au Casino de [...] » où il se rend régulièrement pour jouer (PV aud. 3). Il aurait ainsi servi, selon lui, uniquement d’interprète entre les vendeurs et les acheteurs de faux documents d’identité. Il a également expliqué avoir été rémunéré pour ses services par des repas offerts. En réalité, si l’on se réfère également à l’audition de B.________ du 10 mai 2013, il apparaît que c’est bien le recourant qui a remis à celui-ci un faux passeport français et qu'il lui avait auparavant donné des indications quant au prix et à la manière de s'en procurer un (PV aud. 2). Il apparaît également que le recourant a agi comme transporteur auprès du revendeur du faux document et a participé de manière active comme intermédiaire (ibid.). En outre, plusieurs autres cas ont été admis par le recourant (P. 12). Enfin, cette activité est cohérente tant avec les recoupements réalisés qu'avec le besoin d'argent du recourant en relation avec sa passion du jeu. Ainsi, le recourant ne pouvait ignorer que son rôle d’intermédiaire était capital dans les contacts entre vendeurs et acheteurs, mais aussi qu'il tenait un rôle actif dans la constitution de situation de séjour administrativement illicites. Sous l'angle des normes violées, ce comportement revenait clairement à contourner la législation administrative sur les autorisations de séjour en Suisse. A ce titre, même si le recourant ne s’est pas rendu coupable des infractions de faux dans les certificats, infraction à la loi fédérale sur le séjour et l’établissement des étrangers et faux dans les titres, son comportement peut être qualifié de fautif et d'illicite, ce qui a indéniablement provoqué l’ouverture de la procédure. C’est par conséquent à juste titre qu’une partie des frais de la cause ont été mise à la charge du recourant, la moitié de ces frais ayant au demeurant été laissée à la charge de l’Etat.</w:t>
      </w:r>
    </w:p>
    <w:p>
      <w:r>
        <w:rPr>
          <w:b/>
        </w:rPr>
        <w:t>E. 3</w:t>
      </w:r>
    </w:p>
    <w:p>
      <w:r>
        <w:t>Sur le vu de ce qui précède, le recours doit être rejeté et l’ordonnance attaquée confirmée. Les frais de la procédure de recours, constitués en l’espèce du seul émolument d’arrêt, par 540 fr. (art. 20 al. 1 TFIP [tarif des frais de procédure et indemnités en matière pénale du 28 septembre 2010; RSV 312.03.1]), seront mis à la charge du recourant, qui succombe (art. 428 al. 1 CPP). Par ces motifs, le juge unique prononce : I. Le recours est rejeté. II. L’ordonnance du 17 juillet 2014 est confirmée. III. Les frais du présent arrêt, par 540 fr. (cinq cent quarante francs), sont mis à la charge de S.________. IV. Le présent arrêt est exécutoire. Le juge unique :               La greffière : Du Le présent arrêt qui précède, dont la rédaction a été approuvée à huis clos, est notifié, par l'envoi d'une copie complète, à : - M. S.________, - M. B.________, -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