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1086 vom 21. November 2014</w:t>
      </w:r>
    </w:p>
    <w:p>
      <w:r>
        <w:t>VD Tribunal cantonal, 2014-11-21, FR</w:t>
      </w:r>
    </w:p>
    <w:p>
      <w:r>
        <w:rPr>
          <w:b/>
        </w:rPr>
        <w:t xml:space="preserve">Quelle: </w:t>
      </w:r>
      <w:r>
        <w:t>https://mcp.opencaselaw.ch/entscheid/vd_findinfo_D_cision___2014___1086</w:t>
      </w:r>
    </w:p>
    <w:p>
      <w:r>
        <w:t>FR: VD_FINDINFO Décision / 2014 / 1086 du 21 novembre 2014</w:t>
      </w:r>
    </w:p>
    <w:p>
      <w:r>
        <w:t>IT: VD_FINDINFO Décision / 2014 / 1086 del 21 novembre 2014</w:t>
      </w:r>
    </w:p>
    <w:p>
      <w:pPr>
        <w:pStyle w:val="Heading2"/>
      </w:pPr>
      <w:r>
        <w:t>Regeste</w:t>
      </w:r>
    </w:p>
    <w:p>
      <w:r>
        <w:t>NOTIFICATION DE LA DÉCISION, OPPOSITION TARDIVE | 353 CPP (CH), 354 CPP (CH), 85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Bâle 2014, n. 2 ad art. 356 CPP; CREP 24 septembre 2014/695 et 27 janvier 2014/63).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et dans les formes prescrites (art. 385 al. 1 CPP).</w:t>
      </w:r>
    </w:p>
    <w:p>
      <w:r>
        <w:rPr>
          <w:b/>
        </w:rPr>
        <w:t>E. 2</w:t>
      </w:r>
    </w:p>
    <w:p>
      <w:r>
        <w:t>CPP). Tel est le cas de la notification en mains propres, avec accusé de réception. Celle-ci est donc régulière et a fait partir le délai de dix jours de l’art. 384 let. b CPP, qui est ainsi arrivé à échéance le 28 juin 2014, pour être reporté au lundi 30 juin 2014, conformément à l'art. 90 al. 2 CPP. Postée le 24 octobre 2014, l'opposition de T.________ doit dès lors être considérée comme manifestement tardive. C’est donc à bon droit, dans ces circonstances, que le Tribunal de l’arrondissement de Lausanne l'a déclarée irrecevable. Le recourant ne conteste d'ailleurs pas la tardiveté de son opposition, mais plaide au fond. Cela étant, dans la mesure où l'opposition, qui n'a pas été formée dans le délai légal, n'est pas valable, le recourant ne peut remettre en cause l'ordonnance pénale à ce stade de la procédure.</w:t>
      </w:r>
    </w:p>
    <w:p>
      <w:r>
        <w:rPr>
          <w:b/>
        </w:rPr>
        <w:t>E. 2.1</w:t>
      </w:r>
    </w:p>
    <w:p>
      <w:r>
        <w:t>L’ordonnance pénale est notifiée par écrit aux personnes et aux autorités qui ont qualité pour former opposition (art. 353 al. 3 CPP). Peuvent former opposition contre l’ordonnance pénale devant le Ministère public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w:t>
      </w:r>
    </w:p>
    <w:p>
      <w:r>
        <w:rPr>
          <w:b/>
        </w:rPr>
        <w:t>E. 2.2</w:t>
      </w:r>
    </w:p>
    <w:p>
      <w:r>
        <w:t>Selon l’art. 85 al. 2 CPP, la notification se fait en principe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En l’espèce, il ressort du dossier que l’ordonnance pénale du 18 juin 2014 a été notifiée personnellement à T.________ le même jour, en mains propres, à la suite de son audition par le procureur et après que ce magistrat l'avait rendu attentif au fait qu'il serait procédé de la sorte. Un procès-verbal de notification, signé par T.________ (P. 10), figure au dossier. Les exigences de forme de l'art. 85 al. 2 CPP ont exclusivement une fonction de preuve et les divers modes de communication possibles pour la notification des actes judiciaires doivent permettre de vérifier leur réception par leur destinataire (cf. Perrier Depeursinge, Code de procédure pénale suisse annoté, Bâle 2015, ad art. 85 al. 2 CPP; Macaluso/Toffel, in Commentaire romand, Code de procédure pénale suisse, Bâle 2011, nn. 13 ad art. 85 al.</w:t>
      </w:r>
    </w:p>
    <w:p>
      <w:r>
        <w:rPr>
          <w:b/>
        </w:rPr>
        <w:t>E. 3</w:t>
      </w:r>
    </w:p>
    <w:p>
      <w:r>
        <w:t>En définitive, le recours, manifestement mal fondé, doit être rejeté sans autres échanges d’écritures (art. 390 al. 2 CPP).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31 octobre 2014 est confirmé. III. Les frais d'arrêt, par 550 fr. (cinq cents cinquante francs), sont mis à la charge de T.________. IV. Le présent arrêt est exécutoire. Le président :               La greffière : Du Le présent arrêt, dont la rédaction a été approuvée à huis clos, est notifié, par l'envoi d'une copie complète, à : - M. T.________, - Ministère public central, et communiqué à : ‑ M. le Président du Tribunal de l'arrondissement de Lausanne, - M. le Procureur cantonal Strada, - Service pénitentiaire,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