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1085 vom 10. Dezember 2014</w:t>
      </w:r>
    </w:p>
    <w:p>
      <w:r>
        <w:t>VD Tribunal cantonal, 2014-12-10, FR</w:t>
      </w:r>
    </w:p>
    <w:p>
      <w:r>
        <w:rPr>
          <w:b/>
        </w:rPr>
        <w:t xml:space="preserve">Quelle: </w:t>
      </w:r>
      <w:r>
        <w:t>https://mcp.opencaselaw.ch/entscheid/vd_findinfo_D_cision___2014___1085</w:t>
      </w:r>
    </w:p>
    <w:p>
      <w:r>
        <w:t>FR: VD_FINDINFO Décision / 2014 / 1085 du 10 décembre 2014</w:t>
      </w:r>
    </w:p>
    <w:p>
      <w:r>
        <w:t>IT: VD_FINDINFO Décision / 2014 / 1085 del 10 dicembre 2014</w:t>
      </w:r>
    </w:p>
    <w:p>
      <w:pPr>
        <w:pStyle w:val="Heading2"/>
      </w:pPr>
      <w:r>
        <w:t>Regeste</w:t>
      </w:r>
    </w:p>
    <w:p>
      <w:r>
        <w:t>RÉCUSATION, EXPERT | 393 al. 1 let. a CPP (CH), 56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Ce recours s’exerce par écrit, dans un délai de dix jours (art. 322 al. 2 CPP, par renvoi de l'art. 310 al. 2 et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Interjeté dans le délai légal contre une décision du Ministère public, respectant les formes prescrites (art. 385 al. 1 CPP) et déposé par les prévenus ayant qualité pour recourir (art. 382 al. 1 CPP), le recours est recevable.</w:t>
      </w:r>
    </w:p>
    <w:p>
      <w:r>
        <w:rPr>
          <w:b/>
        </w:rPr>
        <w:t>E. 2.1</w:t>
      </w:r>
    </w:p>
    <w:p>
      <w:r>
        <w:t>Lorsqu’une partie entend demander la récusation d’un expert désigné par la direction de la procédure, elle doit présenter sans délai une demande en ce sens à la direction de la procédure, dès qu’elle a connaissance du motif de récusation (art. 58 al. 1 CPP). La personne concernée prend position sur la demande (art. 58 al. 2 CPP).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[loi d’introduction du code de procédure pénale suisse; RSV 312.01]), est compétente pour statuer définitivement sur la demande de récusation de l'expert (TF 1B_488/2011 du 2 décembre 2011 c. 1.1; TF 1B_243/2012 du 9 mai 2012 c. 1.2; CREP 11 août 2014/547 c. 1b; CREP 11 décembre 2012/799 c. 1).</w:t>
      </w:r>
    </w:p>
    <w:p>
      <w:r>
        <w:rPr>
          <w:b/>
        </w:rPr>
        <w:t>E. 2.2</w:t>
      </w:r>
    </w:p>
    <w:p>
      <w:r>
        <w:t>Il résulte de ce qui précède que le Ministère public n’était pas compétent pour statuer sur la requête de récusation de l’experte déposée par les prévenus le 29 octobre 2014. Le procureur aurait dû transmettre cette requête à la cour de céans comme objet de sa compétence. Par conséquent, le recours doit être partiellement admis et l’ordonnance rendue le 4 novembre 2014 par le Ministère public de l’arrondissement de La Côte, matériellement incompétent, annulée.</w:t>
      </w:r>
    </w:p>
    <w:p>
      <w:r>
        <w:rPr>
          <w:b/>
        </w:rPr>
        <w:t>E. 3</w:t>
      </w:r>
    </w:p>
    <w:p>
      <w:r>
        <w:t>Il reste à examiner la demande de récusation de l’experte G.________ déposée par les prévenus, demande dont il y a lieu de considérer au vu des circonstances qu’elle a été présentée en temps utile.</w:t>
      </w:r>
    </w:p>
    <w:p>
      <w:r>
        <w:rPr>
          <w:b/>
        </w:rPr>
        <w:t>E. 3.1</w:t>
      </w:r>
    </w:p>
    <w:p>
      <w:r>
        <w:t>L'art. 56 CPP – applicable aux experts par renvoi de l'art. 183 al. 3 CPP – énumère divers motifs de récusation aux let. a à e, la let. f imposant la récusation « lorsque d'autres motifs, notamment un rapport d'amitié étroit ou d'inimitié avec une partie ou son conseil, sont de nature à le rendre suspect de prévention ». La let. f de l'art. 56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137 I 227 c. 2.1 et les références citées; ATF 136 III 605 c. 3.2.1; ATF 134 I 20 c. 4.2; ATF 133 I 1 c. 5.2; ATF 128 V 82 c. 2a; ATF 127 I 196 c. 2b; TF 1B_488/2011 du 2 décembre 2011 c. 3.1).</w:t>
      </w:r>
    </w:p>
    <w:p>
      <w:r>
        <w:rPr>
          <w:b/>
        </w:rPr>
        <w:t>E. 3.2</w:t>
      </w:r>
    </w:p>
    <w:p>
      <w:r>
        <w:t>En l’espèce, s’il est vrai que qu’une copie complète de l’arrêt rendu par la cour de céans le 11 août 2014 a été communiquée à G.________, celle-ci est à même de faire la part des choses, respectivement de répondre aux questions qui lui sont posées dans le cadre du mandat d’expertise, en se fondant sur le dossier qui lui est remis. En effet, rien ne permet de penser que l’experte n’agirait pas avec toute l’objectivité requise, du seul fait qu’elle aurait reçu copie de l’arrêt précité.</w:t>
      </w:r>
    </w:p>
    <w:p>
      <w:r>
        <w:rPr>
          <w:b/>
        </w:rPr>
        <w:t>E. 4</w:t>
      </w:r>
    </w:p>
    <w:p>
      <w:r>
        <w:t>Il résulte de ce qui précède que le recours déposé par M.________ et V.________ doit être partiellement admis, l’ordonnance du 4 novembre 2014 annulée et la demande de récusation rejetée. Les frais de procédure, constitués en l’espèce de l’émolument d’arrêt, par 770 fr. (art. 20 al. 1 TFIP [Tarif des frais de procédure et indemnités en matière pénale du 28 septembre 2010; RSV 312.03.1]), seront mis à la charge des recourants, qui succombent sur le principal (art. 59 al. 4 et 428 al. 1 CPP), par moitié chacun et solidairement entre eux (art. 418 al. 1 et 2 CPP). Par ces motifs, la Chambre des recours pénale prononce : I. Le recours est partiellement admis. II. L’ordonnance du 4 novembre 2014 est annulée. III. La demande de récusation présentée par M.________ et V.________ à l’encontre de l’experte G.________ est rejetée. IV. Les frais d’arrêt, par 770 fr. (sept cent septante francs), sont mis à la charge des recourants, par moitié chacun, soit par 335 fr. (trois cent trente-cinq francs) chacun, et solidairement entre eux. V. Le présent arrêt est exécutoire. Le président :               La greffière : Du Le présent arrêt, dont la rédaction a été approuvée à huis clos, est notifié, par l'envoi d'une copie complète, à : - M. Charles Joye, avocat (pour M.________ et V.________), - M. Marcel Bersier, avocat (pour R.K.________, B.K.________ et S.________), - Mme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