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1083 vom 4. Dezember 2014</w:t>
      </w:r>
    </w:p>
    <w:p>
      <w:r>
        <w:t>VD Tribunal cantonal, 2014-12-04, FR</w:t>
      </w:r>
    </w:p>
    <w:p>
      <w:r>
        <w:rPr>
          <w:b/>
        </w:rPr>
        <w:t xml:space="preserve">Quelle: </w:t>
      </w:r>
      <w:r>
        <w:t>https://mcp.opencaselaw.ch/entscheid/vd_findinfo_D_cision___2014___1083</w:t>
      </w:r>
    </w:p>
    <w:p>
      <w:r>
        <w:t>FR: VD_FINDINFO Décision / 2014 / 1083 du 4 décembre 2014</w:t>
      </w:r>
    </w:p>
    <w:p>
      <w:r>
        <w:t>IT: VD_FINDINFO Décision / 2014 / 1083 del 4 dicembre 2014</w:t>
      </w:r>
    </w:p>
    <w:p>
      <w:pPr>
        <w:pStyle w:val="Heading2"/>
      </w:pPr>
      <w:r>
        <w:t>Regeste</w:t>
      </w:r>
    </w:p>
    <w:p>
      <w:r>
        <w:t>INDEMNITÉ{EN GÉNÉRAL}, CLASSEMENT DE LA PROCÉDURE | 429 al. 1 let. a CPP (CH)</w:t>
      </w:r>
    </w:p>
    <w:p>
      <w:pPr>
        <w:pStyle w:val="Heading2"/>
      </w:pPr>
      <w:r>
        <w:t>Erwägungen</w:t>
      </w:r>
    </w:p>
    <w:p>
      <w:r>
        <w:rPr>
          <w:b/>
        </w:rPr>
        <w:t>E. 1</w:t>
      </w:r>
    </w:p>
    <w:p>
      <w:r>
        <w:t>Interjeté dans le délai légal (art. 322 al. 2 CPP), contre une ordonnance du Ministère public (art. 393 al. 1 let. a CPP), par le prévenu qui a qualité pour recourir (art. 382 al. 1 CPP) et dans les formes prescrites (art. 385 al. 1 CPP), le recours est recevable. Le recours ne portant pas sur le classement de la procédure, mais uniquement sur le montant de l’indemnité allouée au titre de l’art. 429 al. 1 let. a CPP, qui constitue une conséquence économique accessoire d'une décision (cf. Stephenson/Thiriet, in : Niggli/Heer/Wiprächtiger [éd.], Basler Kommentar, Schweizerische Strafprozessordnung, Jugendstrafprozess-ordnung, Bâle 2014, n.</w:t>
      </w:r>
    </w:p>
    <w:p>
      <w:r>
        <w:rPr>
          <w:b/>
        </w:rPr>
        <w:t>E. 5</w:t>
      </w:r>
    </w:p>
    <w:p>
      <w:r>
        <w:t>ad art. 395 CPP; Juge unique CREP 23 octobre 2013/643), l’art. 395 al. 1 let. b entre en considération. Vu la valeur litigieuse en cause, en l’occurrence inférieure au montant de 5'000 fr., le recours relève de la compétence du Juge unique de la Chambre des recours pénale (cf. art. 395 al. 1 let. b CPP et art. 13 al. 2 LVCPP [loi d’introduction du Code de procédure pénale suisse ; RSV 312.01] ; cf. entre autres CREP 7 janvier 2014/7). 2. 2.1 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L’indemnisation prévue à l’art. 429 al. 1 let. a CPP suppose toutefois que tant le recours à un avocat que l’activité déployée par celui-ci sont justifiés (ATF 138 IV 197 c. 2.3.4).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 2.3.5 et les références citées; TF 6B_387/2013 du 8 juillet 2013 c. 2.1). 2.2 En l’espèce, bien que les infractions reprochées à I.________ ne sauraient être qualifiées comme étant de peu de gravité si l’on considère que l’infraction de contrainte est passible d’une peine privative de liberté de trois ans, il s’agit d’une affaire simple sans difficulté particulière tant en fait qu’en droit. La procédure a été de courte durée. Le prévenu a été entendu une seule fois au cours de la procédure, le 15 août 2014. Cette audition a duré une heure et l’avocate-stagiaire n’a posé qu’une seule question, au demeurant pas décisive. Il n’y a pas eu d’autres mesures d’instruction. I.________ a été averti, par avis du 20 août 2014, soit 5 jours seulement après son audition, que le Ministère public entendait classer la procédure. Dans ces circonstances, il faut admettre, avec le Ministère public, que le recours à un avocat ne s’inscrivait pas dans l’exercice raisonnable des droits de procédure au sens de l’art. 429 al. 1 let. a CPP. 3. En définitive, le recours, manifestement mal fondé, doit être rejeté, sans autre échange d’écritures (art. 390 al. 2 CPP), de sorte que la requête du recourant tendant à l’allocation d’une indemnité pour la procédure de recours doit également être rejetée. Les frais de la procédure de recours, par 450 fr. (art. 20 al. 1 TFIP [Tarif des frais de procédure et indemnités en matière pénale du 28 septembre 2010; RSV 312.03.1]), seront mis à la charge du recourant, qui succombe (art. 428 al. 1 CPP). Par ces motifs, le juge unique prononce : I. Le recours est rejeté. II. L’ordonnance du 29 octobre 2014 est confirmée. III. Les frais d’arrêt, par 450 fr. (quatre cent cinquante francs), sont mis à la charge de I.________. IV. Il n’est pas alloué d’indemnité pour la procédure de recours. V. Le présent arrêt est exécutoire. Le juge unique :               La greffière : Du Le présent arrêt qui précède, dont la rédaction a été approuvée à huis clos, est notifié, par l'envoi d'une copie complète, à : - Me Christian Favre, avocat (pour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