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1082 vom 19. September 2014</w:t>
      </w:r>
    </w:p>
    <w:p>
      <w:r>
        <w:t>VD Tribunal cantonal, 2014-09-19, FR</w:t>
      </w:r>
    </w:p>
    <w:p>
      <w:r>
        <w:rPr>
          <w:b/>
        </w:rPr>
        <w:t xml:space="preserve">Quelle: </w:t>
      </w:r>
      <w:r>
        <w:t>https://mcp.opencaselaw.ch/entscheid/vd_findinfo_D_cision___2014___1082</w:t>
      </w:r>
    </w:p>
    <w:p>
      <w:r>
        <w:t>FR: VD_FINDINFO Décision / 2014 / 1082 du 19 septembre 2014</w:t>
      </w:r>
    </w:p>
    <w:p>
      <w:r>
        <w:t>IT: VD_FINDINFO Décision / 2014 / 1082 del 19 settembre 2014</w:t>
      </w:r>
    </w:p>
    <w:p>
      <w:pPr>
        <w:pStyle w:val="Heading2"/>
      </w:pPr>
      <w:r>
        <w:t>Regeste</w:t>
      </w:r>
    </w:p>
    <w:p>
      <w:r>
        <w:t>QUALITÉ POUR RECOURIR, PARTIE À LA PROCÉDURE, LÉSÉ, NON-LIEU, ABUS D'AUTORITÉ | 312 CP, 115 CPP (CH),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l'ordonnance attaquée a été notifiée au recourant le 24 juillet 2014 (PV des opérations, p. 3). Déposé le 3 août 2014 auprès de l’autorité compétente, soit dans le délai légal, le recours a été interjeté en temps utile; il satisfait en outre aux autres conditions légales (art. 385 al. 1 CPP), de sorte qu'il est recevable en la forme.</w:t>
      </w:r>
    </w:p>
    <w:p>
      <w:r>
        <w:rPr>
          <w:b/>
        </w:rPr>
        <w:t>E. 2.1</w:t>
      </w:r>
    </w:p>
    <w:p>
      <w:r>
        <w:t>Seules les parties ont qualité pour recourir contre une ordonnance de non-entrée en matière (art. 322 al. 2 CPP, par renvoi de l’art. 310 al. 2 CPP). Selon l’art. 104 al. 1 CPP, ont la qualité de partie le prévenu (let. a), la partie plaignante (let. b) et le ministère public, lors des débats ou dans la procédure de recours (let. c). Le dénonciateur qui n’est ni lésé, ni partie plaignante ne jouit d’aucun autre droit en procédure que celui d’être informé par l’autorité de poursuite pénale, à sa demande, sur la suite que celle-ci a donnée à sa dénonciation (art. 301 al. 1 et 2 CPP ; Bendani, in : Kuhn/Jeanneret [éd.], Commentaire romand, Code de procédure pénale suisse, Bâle 2011, n. 9 ad art. 105 CPP et les références citées).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Peut seul être considéré comme lésé celui qui est personnellement et immédiatement touché, c’est-à-dire celui qui est titulaire du bien juridiquement protégé touché par l’infraction (Perrier, in : Kuhn/Jeanneret [éd.], op. cit., n. 6 et 8 ad art. 115 CPP et les arrêts cités ; Mazzuchelli/Postizzi, in : Niggli/Heer/Wiprächtiger [éd.], Basler Kommentar, Schweizerische Strafprozessordnung, Jugendstrafprozessordnung, Bâle 2011, n. 21 ad art. 115 CPP ; ATF 138 IV 258 c. 2.2 et 2.3 ; cf. ég. les arrêts cités par Garbarski, Le lésé et la partie plaignante en procédure pénale, Etat de lieux de la jurisprudence récente, in : SJ 2012 II p. 123, not. TF 1B_553/2012 du 12 novembre 2012 c. 1.2.2 et TF 1B_678/2011 du 30 janvier 2012 c. 2.1).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w:t>
      </w:r>
    </w:p>
    <w:p>
      <w:r>
        <w:rPr>
          <w:b/>
        </w:rPr>
        <w:t>E. 2.2</w:t>
      </w:r>
    </w:p>
    <w:p>
      <w:r>
        <w:t>En l'espèce, contrairement à ce qu'il soutient (recours, p. 2 in initio ), A.T.________ n'a pas la qualité de partie. En effet, il est manifeste qu'il n'est pas directement lésé par les infractions qu'il dénonce, puisqu'il s'agit d'actes qui auraient été commis au préjudice de la W.________, comme le prénommé l'admet d'ailleurs lui-même en invoquant "une perte d'image" de cette dernière (recours, p. 1 in fine ). Or, la W.________, dont le but est le commerce de vins, bières, spiritueux et eaux minérales, est une entreprise individuelle dont la titulaire est C.T.________, avec signature individuelle, le nom de C.T.________ figurant d'ailleurs sur le papier à en-tête de cette entreprise. Dès lors, A.T.________, qui doit être considéré comme dénonciateur, n'a pas la qualité pour recourir (art. 382 al. 1 CPP) contre l'ordonnance de non-entrée en matière du 18 juillet 2014, faute d'être lésé au sens de l'art. 115 al. 1 CPP. Supposé recevable, le recours d'A.T.________ devrait de toute manière être rejeté pour les motifs exposés ci-après.</w:t>
      </w:r>
    </w:p>
    <w:p>
      <w:r>
        <w:rPr>
          <w:b/>
        </w:rPr>
        <w:t>E. 3.1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op. cit.,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3.2</w:t>
      </w:r>
    </w:p>
    <w:p>
      <w:r>
        <w:t>En l'espèce, le recourant reproche aux responsables des polices cantonales et communales du commerce de se montrer laxistes ou inégalitaires dans les contrôles fondés sur la LADB. On ne discerne toutefois pas en quoi les mis en cause, qui sont des autorités de police administrative chargées d’appliquer les dispositions légales de la LADB imposant des obligations aux administrés entrant dans le champ d’application de cette loi (art. 2 et 3 LADB), pourraient s’être rendus coupables d’une contravention au sens de l’art. 63 LADB. La seule infraction pénale qui pourrait entrer en ligne de compte est celle d'abus d'autorité au sens de l'art. 312 CP (Code pénal suisse du 21 décembre 1937; RS 311.0), comme le relève à juste titre le Procureur. Aux termes de cette disposition, se rendent coupables d'une telle infraction les membres d'une autorité et les fonctionnaires qui, dans le dessein de se procurer ou de procurer à un tiers un avantage illicite, ou dans le dessein de nuire à autrui, auront abusé des pouvoirs de leur charge. Cette disposition protège, d’une part, l'intérêt de l'Etat à disposer de fonctionnaires loyaux qui utilisent les pouvoirs qui leur ont été confiés en ayant conscience de leurs devoirs et, d’autre part, celui des citoyens à ne pas être exposés à un « déploiement de puissance étatique incontrôlé et arbitraire » (Dupuis et alii, Code pénal, Petit commentaire, Helbing Lichtenhahn, Bâle 2012, n. 3 ad art. 312 CP). En l'occurrence, il résulte des informations recueillies par le Procureur (P. 8/1 et 12) – et non contestées – qu'ensuite de contrôles effectués par la police du commerce, certains des commerces cités par le plaignant avaient fait l'objet d'une information ou de procédures administratives ayant conduit à des avertissements, que des contrôles étaient en cours pour des faits récents, qu'aucune procédure administrative n'avait été ouverte à l'encontre de la W.________ et que cette dernière n'avait sollicité aucune demande d'autorisation pour la dégustation ponctuelle d'alcool, alors que cette possibilité lui avait été expressément signalée (P. 8/1 et 12). On ne discerne, dans ces conditions, aucun abus d’autorité de la part des intimés au sens de l’art. 312 CP et il n’y a par ailleurs aucun élément en faveur de l'existence d’une autre infraction pénale. C’est donc à juste titre que le Procureur a décidé de ne pas entrer en matière sur la plainte d'A.T.________.</w:t>
      </w:r>
    </w:p>
    <w:p>
      <w:r>
        <w:rPr>
          <w:b/>
        </w:rPr>
        <w:t>E. 4</w:t>
      </w:r>
    </w:p>
    <w:p>
      <w:r>
        <w:t>En définitive, le recours doit être rejeté dans la mesure où il est recevable (cf. c. 2.2 supra ) et l’ordonnance attaquée confirmée.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Le montant de 440 fr. déjà versé par le recourant à titre de sûretés sera imputé sur les frais mis à sa charge (art. 7 TFIP). Par ces motifs, la Chambre des recours pénale prononce : I. Le recours est rejeté dans la mesure où il est recevable. II. L'ordonnance du 18 juillet 2014 est confirmée. III. Les frais d'arrêt, par 770 fr. (sept cent septante francs), sont mis à la charge d'A.T.________. IV. Le montant de 440 fr. (quatre cent quarante francs) déjà versé par le recourant à titre de sûretés est imputé sur les frais mis à sa charge au chiffre III ci-dessus. V. Le présent arrêt est exécutoire. Le président :               Le greffier : Du Le présent arrêt, dont la rédaction a été approuvée à huis clos, est notifié, par l'envoi d'une copie complète, à : - M. A.T.________, - Ministère public central, et communiqué à : ‑ M. le Procureur de l'arrondissement de l'Est vaudois, - 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