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1076 vom 18. Juli 2014</w:t>
      </w:r>
    </w:p>
    <w:p>
      <w:r>
        <w:t>VD Tribunal cantonal, 2014-07-18, FR</w:t>
      </w:r>
    </w:p>
    <w:p>
      <w:r>
        <w:rPr>
          <w:b/>
        </w:rPr>
        <w:t xml:space="preserve">Quelle: </w:t>
      </w:r>
      <w:r>
        <w:t>https://mcp.opencaselaw.ch/entscheid/vd_findinfo_D_cision___2014___1076</w:t>
      </w:r>
    </w:p>
    <w:p>
      <w:r>
        <w:t>FR: VD_FINDINFO Décision / 2014 / 1076 du 18 juillet 2014</w:t>
      </w:r>
    </w:p>
    <w:p>
      <w:r>
        <w:t>IT: VD_FINDINFO Décision / 2014 / 1076 del 18 luglio 2014</w:t>
      </w:r>
    </w:p>
    <w:p>
      <w:pPr>
        <w:pStyle w:val="Heading2"/>
      </w:pPr>
      <w:r>
        <w:t>Regeste</w:t>
      </w:r>
    </w:p>
    <w:p>
      <w:r>
        <w:t>ORDONNANCE DE CONDAMNATION, OPPOSITION TARDIVE, REJET DE LA DEMANDE, DÉLAI DE GARDE, NOTIFICATION DE LA DÉCISION, RESTITUTION DU DÉLAI, EMPÊCHEMENT NON FAUTIF | 258 al. 1 CPC (CH), 354 CPP (CH), 356 al. 2 CPP (CH), 395 let. a CPP (CH), 85 al. 4 CPP (CH), 94 CPP (CH)</w:t>
      </w:r>
    </w:p>
    <w:p>
      <w:pPr>
        <w:pStyle w:val="Heading2"/>
      </w:pPr>
      <w:r>
        <w:t>Erwägungen</w:t>
      </w:r>
    </w:p>
    <w:p>
      <w:r>
        <w:rPr>
          <w:b/>
        </w:rPr>
        <w:t>E. 1</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CREP 27 novembre 2013/815 ; Juge CREP 27 juin 2012/595).</w:t>
      </w:r>
    </w:p>
    <w:p>
      <w:r>
        <w:rPr>
          <w:b/>
        </w:rPr>
        <w:t>E. 2.1</w:t>
      </w:r>
    </w:p>
    <w:p>
      <w:r>
        <w:t>Le recours a été interjeté contre un prononcé par lequel un tribunal de première instance (art. 393 al. 1 let. b CPP [Code de procédure pénale suisse du 5 octobre 2007 ; RS 312.0]), statuant sur la validité de l’opposition formée par le prévenu contre une ordonnance pénale rendue par la Commission de police (cf. art. 356 al. 2 et 357 al. 2 CPP), a déclaré l’opposition irrecevable pour cause de tardiveté.</w:t>
      </w:r>
    </w:p>
    <w:p>
      <w:r>
        <w:rPr>
          <w:b/>
        </w:rPr>
        <w:t>E. 2.2</w:t>
      </w:r>
    </w:p>
    <w:p>
      <w:r>
        <w:t>Il ressort du dossier que le prononcé attaqué, daté du 19 juin 2014, a été adressé à R.________ par pli recommandé le 20 juin 2014 (P. 6). Le prénommé l’a reçu le 27 juin 2014 (P. 6). Le délai pour recourir selon l’art. 396 al. 1 CPP, qui a commencé à courir le lendemain, soit le 28 juin 2014, est ainsi arrivé à échéance le lundi 7 juillet 2014. Daté du 7 juillet 2014, mais envoyé par plis des 8 juillet 2014 et 10 juillet 2014 (P. 8), le recours doit dès lors être considéré comme manifestement tardif.</w:t>
      </w:r>
    </w:p>
    <w:p>
      <w:r>
        <w:rPr>
          <w:b/>
        </w:rPr>
        <w:t>E. 3</w:t>
      </w:r>
    </w:p>
    <w:p>
      <w:r>
        <w:t>R.________ requiert une restitution du délai « dans cette affaire ».</w:t>
      </w:r>
    </w:p>
    <w:p>
      <w:r>
        <w:rPr>
          <w:b/>
        </w:rPr>
        <w:t>E. 3.1</w:t>
      </w:r>
    </w:p>
    <w:p>
      <w:r>
        <w:t>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Suivant les circonstances, une maladie grave ou un accident peuvent constituer un empêchement au sens de l’art. 94 al. 1 CPP, du moins lorsqu’il survient peu avant l’échéance du délai (Moreillon/Parein-Reymond, Petit commentaire CPP, Bâle 2013, n. 7 ad art. 94 CPP ; Stoll, in : Kuhn/Jeanneret [éd.], op. cit., n. 6 ad art. 94 CPP). En cas d’absence ou d’incapacité de longue durée, la personne concernée doit prendre les mesures nécessaires en désignant le cas échéant un mandataire (Moreillon/Parein-Reymond, op. cit., n. 8 ad art. 94 CPP et les références citées).</w:t>
      </w:r>
    </w:p>
    <w:p>
      <w:r>
        <w:rPr>
          <w:b/>
        </w:rPr>
        <w:t>E. 3.2</w:t>
      </w:r>
    </w:p>
    <w:p>
      <w:r>
        <w:t>En l’espèce, le recourant ne démontre pas qu’il aurait été empêché, sans faute de sa part, de recourir dans le délai prévu par la loi. Certes, R.________ a indiqué, à l’appui de son recours, son intention de « faire valoir ses droits quant à la restitution de délai » ; il s’est toutefois contenté de produire deux certificats médicaux datés du 21 mai 2014, respectivement du 7 juillet 2014, sans pourtant exposer en quoi son problème de santé constituerait un motif de restitution dans les circonstances d’espèce. Ces certificats médicaux n’attestent, en effet, en rien que le recourant ait été totalement dans l’incapacité de s’occuper de ses affaires, ni de se faire représenter afin d’agir en temps utile. De plus, on soulignera que le recourant, bien qu’il allègue être à l’AI à 100%, mentionne également dans ses courriers, notamment dans sa lettre du 25 février 2014 (cf. P. 4/11 et 4/13), avoir une société et du personnel ; on peut ainsi supposer qu’en raison de sa maladie, il a mandaté des représentants pour s’occuper de ses affaires administratives ou alors qu’il n’est pas suffisamment atteint dans sa santé pour devoir déléguer. Dans les deux cas de figure, qu’il soit à même de s’occuper des affaires de ses sociétés ou qu’il ait un mandataire, il faut considérer que cette organisation permet également au recourant de gérer les conséquences liées aux amendes prononcées à son encontre. Dès lors, le délai pour recourir contre le prononcé rendu le 19 juin 2014 par le Tribunal de police de l’arrondissement de Lausanne, échu le 7 juillet 2014, ne saurait être restitué, faute d’empêchement au sens de l’art. 94 al. 1 CPP.</w:t>
      </w:r>
    </w:p>
    <w:p>
      <w:r>
        <w:rPr>
          <w:b/>
        </w:rPr>
        <w:t>E. 3.3</w:t>
      </w:r>
    </w:p>
    <w:p>
      <w:r>
        <w:t>Au demeurant, même si le recourant avait agi en temps utile, la Cour de céans n’aurait pu que confirmer l’appréciation de l’autorité de première instance. En effet, envoyé au recourant le 23 mars 2014 (P. 4/14), le pli recommandé contenant l’ordonnance pénale du 21 mars 2014 a été retiré au guichet de la poste le 1 er avril 2014 (P. 4/14). Le délai pour faire opposition  au sens de l’art. 354 CPP commençait à courir le lendemain, soit le mercredi 2 avril 2014 et arrivait à échéance le vendredi 11 avril 2014. L’opposition, datée du 11 avril 2014, a été faxée le 15 avril 2014 (P. 4/11) et postée le 16 avril 2014, soit hors délai (P. 4/12). A cela s’ajoute qu’une restitution de délai est ici également exclue pour les mêmes raisons que ci-dessus (supra 3.1 et 3.2). On relèvera enfin que la Commission de police n’avait pas la compétence de se prononcer sur la recevabilité de l’opposition. En effet, lorsque la Commission de police reçoit une opposition qu'elle juge tardive, elle ne peut pas elle-même déclarer l'opposition irrecevable, mais doit la transmettre au Tribunal de première instance afin que celui-ci statue sur la validité de l'opposition (CREP 31 janvier 2012/46 ; CREP 5 octobre 2011/405). Cette erreur n’a toutefois pas de conséquences dans la mesure où, d’une part, l’ordonnance pénale subséquente du 17 avril 2014 doit être considérée comme une « décision de maintien de l’ordonnance pénale » et où, d’autre part, le Tribunal de police de l’arrondissement de Lausanne a examiné la recevabilité de l’opposition du recourant à l’ordonnance pénale du 21 mars 2014, conformément à l’art. 356 CPP, pour aboutir à la conclusion que cette opposition était tardive.</w:t>
      </w:r>
    </w:p>
    <w:p>
      <w:r>
        <w:rPr>
          <w:b/>
        </w:rPr>
        <w:t>E. 4</w:t>
      </w:r>
    </w:p>
    <w:p>
      <w:r>
        <w:t>Il résulte de ce qui précède que le recours doit être déclaré irrecevable. Les frais de la procédure de recours, constitués en l'espèce du seul émolument d'arrêt (art. 422 al. 1 CPP), par 540 fr. (art. 20 al. 1 TFIP [tarif des frais de procédure et indemnités en matière pénale du 28 septembre 2010 ; RSV 312.03.1]), seront mis à la charge du recourant qui succombe (art. 428 al. 1 CPP). Par ces motifs, la juge unique prononce : I. Le recours est irrecevable. II. Le prononcé du 19 juin 2014 est confirmé. III. Les frais d’arrêt, par 540 fr. (cinq cent quarante francs), sont mis à la charge de R.________. IV. Le présent arrêt est exécutoire. La juge unique :               La greffière : Du Le présent arrêt qui précède, dont la rédaction a été approuvée à huis clos, est notifié, par l'envoi d'une copie complète, à : - M. R.________, - Ministère public central, et communiqué à : - M. le Président du Tribunal de police de l’arrondissement de Lausanne, - Commission de police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