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1075 vom 4. September 2014</w:t>
      </w:r>
    </w:p>
    <w:p>
      <w:r>
        <w:t>VD Tribunal cantonal, 2014-09-04, FR</w:t>
      </w:r>
    </w:p>
    <w:p>
      <w:r>
        <w:rPr>
          <w:b/>
        </w:rPr>
        <w:t xml:space="preserve">Quelle: </w:t>
      </w:r>
      <w:r>
        <w:t>https://mcp.opencaselaw.ch/entscheid/vd_findinfo_D_cision___2014___1075</w:t>
      </w:r>
    </w:p>
    <w:p>
      <w:r>
        <w:t>FR: VD_FINDINFO Décision / 2014 / 1075 du 4 septembre 2014</w:t>
      </w:r>
    </w:p>
    <w:p>
      <w:r>
        <w:t>IT: VD_FINDINFO Décision / 2014 / 1075 del 4 settembre 2014</w:t>
      </w:r>
    </w:p>
    <w:p>
      <w:pPr>
        <w:pStyle w:val="Heading2"/>
      </w:pPr>
      <w:r>
        <w:t>Regeste</w:t>
      </w:r>
    </w:p>
    <w:p>
      <w:r>
        <w:t>DIFFAMATION, CLASSEMENT DE LA PROCÉDURE, DÉCISION D'IRRECEVABILITÉ | 173 ch. 1 CP,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w:t>
      </w:r>
    </w:p>
    <w:p>
      <w:r>
        <w:t>La recourante soutient que les soupçons seraient suffisants pour ordonner l’ouverture d’une instruction pénale contre P.________ du chef de diffamation.</w:t>
      </w:r>
    </w:p>
    <w:p>
      <w:r>
        <w:rPr>
          <w:b/>
        </w:rPr>
        <w:t>E. 2.1</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c.2.1.1 ; ATF 132 IV 112 c. 2.1 ; ATF 128 IV 53 c. 1a).</w:t>
      </w:r>
    </w:p>
    <w:p>
      <w:r>
        <w:rPr>
          <w:b/>
        </w:rPr>
        <w:t>E. 2.3</w:t>
      </w:r>
    </w:p>
    <w:p>
      <w:r>
        <w:t>L’assertion litigieuse évoque la résiliation immédiate du contrat de travail liant la recourante à son employeur. Une telle résiliation suppose certes des circonstances qui ne permettent plus d’exiger de celui qui a donné le congé la continuation des rapports de travail (art. 337 al. 2 CO) et seul un manquement particulièrement grave du travailleur, ou un manquement moins grave mais répété malgré un avertissement, peut justifier une résiliation immédiate (ATF 127 III 153 c.1a ; ATF 129 III 180 c. 2.1). Le message en cause ne fait toutefois aucune allusion aux actes qui auraient motivé le renvoi de la recourante, ni ne décrit le comportement qui aurait donné lieu à cette mesure. En bref, il est formulé de manière trop vague et trop générale pour faire apparaître la recourante comme une personne méprisable. Que l’indication du caractère immédiat de la résiliation soit erronée n’y change rien. L’affaire revêt ainsi un aspect strictement civil et relève en particulier du droit du travail, Les éléments constitutifs de l’infraction de diffamation n’étant manifestement pas réalisés, c’est à raison que le Ministère public a rendu une ordonnance de non-entrée en matière. Il n’y a dès lors pas lieu d’examiner si, comme l’a retenu le procureur, la plainte de W.________ était tardive.</w:t>
      </w:r>
    </w:p>
    <w:p>
      <w:r>
        <w:rPr>
          <w:b/>
        </w:rPr>
        <w:t>E. 3</w:t>
      </w:r>
    </w:p>
    <w:p>
      <w:r>
        <w:t>En définitive, le recours doit être rejeté sans autres échanges d’écritures (art. 390 al. 2 CPP) et l’ordonnance du 12 août 2014 confirmée. Les frais de la procédure de recours, constitués du seul émolument d’arrêt, par 440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12 août 2014 est confirmée. III. Les frais d’arrêt, par 440 fr. (quatre cent quarante francs), sont mis à la charge de W.________. IV. Le présent arrêt est exécutoire. Le président :               Le greffier : Du Le présent arrêt, dont la rédaction a été approuvée à huis clos, est notifié, par l'envoi d'une copie complète, à : - M. Eduardo Redondo, avocat (pour W.________), - Ministère public central, et communiqué à : -              M. le Procureur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