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1068 vom 4. Dezember 2014</w:t>
      </w:r>
    </w:p>
    <w:p>
      <w:r>
        <w:t>VD Tribunal cantonal, 2014-12-04, FR</w:t>
      </w:r>
    </w:p>
    <w:p>
      <w:r>
        <w:rPr>
          <w:b/>
        </w:rPr>
        <w:t xml:space="preserve">Quelle: </w:t>
      </w:r>
      <w:r>
        <w:t>https://mcp.opencaselaw.ch/entscheid/vd_findinfo_D_cision___2014___1068</w:t>
      </w:r>
    </w:p>
    <w:p>
      <w:r>
        <w:t>FR: VD_FINDINFO Décision / 2014 / 1068 du 4 décembre 2014</w:t>
      </w:r>
    </w:p>
    <w:p>
      <w:r>
        <w:t>IT: VD_FINDINFO Décision / 2014 / 1068 del 4 dicembre 2014</w:t>
      </w:r>
    </w:p>
    <w:p>
      <w:pPr>
        <w:pStyle w:val="Heading2"/>
      </w:pPr>
      <w:r>
        <w:t>Regeste</w:t>
      </w:r>
    </w:p>
    <w:p>
      <w:r>
        <w:t>DÉTENTION PROVISOIRE, PROLONGATION, SOUPÇON, RISQUE DE RÉCIDIVE | 221 al. 1 let. c CPP (CH), 222 CPP (CH), 227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w:t>
      </w:r>
    </w:p>
    <w:p>
      <w:r>
        <w:rPr>
          <w:b/>
        </w:rPr>
        <w:t>E. 2.1</w:t>
      </w:r>
    </w:p>
    <w:p>
      <w:r>
        <w:t>La mise en détention provisoire n’est ainsi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S’agissant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TF 1B_39/2014 du 11 février 2014 c. 2.2). En l'occurrence, si X.________ admet consommer régulièrement du cannabis, il conteste avoir participé à un trafic de stupéfiants, avoir exercé des contraintes ou proféré des menaces envers des tiers. Il ressort pourtant de l'examen du dossier que le prévenu est clairement mis en cause par de nombreuses personnes pour leur avoir vendu du cannabis. X.________ est également mis en cause par A.F.________ pour l'avoir contraint à garder de la drogue chez lui et avoir formulé des menaces à son encontre. Des menaces auraient aussi été formulées envers W.________. A ce stade, il n'y a pas lieu de mettre en doute les paroles des diverses personnes entendues, les menaces qui semblent avoir été proférées étant au demeurant à prendre au sérieux. L'ensemble des éléments mis en exergue par le procureur constitue un faisceau d'indices suffisant pour justifier un maintien en détention du recourant même si ce dernier persiste à contester son implication dans les événements qui lui sont reprochés. C'est à juste titre, dans ces circonstances, que le premier juge a considéré que les indices de culpabilité étaient suffisants dans le cas particulier.</w:t>
      </w:r>
    </w:p>
    <w:p>
      <w:r>
        <w:rPr>
          <w:b/>
        </w:rPr>
        <w:t>E. 2.2</w:t>
      </w:r>
    </w:p>
    <w:p>
      <w:r>
        <w:t>L'ordonnance attaquée se fonde sur un risque de fuite, un risque de collusion et un risque de récidive pour ordonner le maintien de X.________ en détention.</w:t>
      </w:r>
    </w:p>
    <w:p>
      <w:r>
        <w:rPr>
          <w:b/>
        </w:rPr>
        <w:t>E. 2.2.1</w:t>
      </w:r>
    </w:p>
    <w:p>
      <w:r>
        <w:t>Contrairement au premier juge, on ne saurait retenir l'existence d'un risque de fuite dans le cas particulier : le recourant, ressortissant iranien, est en effet au bénéfice d'un titre de séjour provisoire en Suisse (Permis F), après avoir fui son pays d'origine avec sa famille pour des raisons politiques; il dépend aujourd'hui des services sociaux et n'a aucun autre moyen de subsistance, si ce n'est celui qui lui parvient de sa rente d'invalidité. On voit mal, dans ces circonstances, quelles seraient pour lui les possibilités concrètes de voyager et de se soustraire à la justice pénale (cf. TF 1B_ 414/2011 du 5 septembre 2011 c. 4.1). On peut également douter de l'existence d'un risque de collusion dès lors que le procureur le justifiait, dans sa demande de prolongation, par la nécessité de procéder à des auditions et à des contrôles rétroactifs. Or, les deux témoins qui devaient être entendus l'ont été le 31 octobre 2014 déjà par la gendarmerie (cf. PV aud. du 31 octobre 2014 d'B.________ et d'B.F.________). On voit mal pour le surplus quelle influence le prévenu pourrait avoir sur l'analyse de contrôles téléphoniques rétroactifs.</w:t>
      </w:r>
    </w:p>
    <w:p>
      <w:r>
        <w:rPr>
          <w:b/>
        </w:rPr>
        <w:t>E. 2.2.2</w:t>
      </w:r>
    </w:p>
    <w:p>
      <w:r>
        <w:t>Reste à déterminer si le risque de récidive est propre à fonder le maintien en détention de X.________.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op. cit., n. 20 ad art. 221 CPP). La prévention du risque de récidive doit permettre de faire prévaloir l'intérêt à la sécurité publique sur la liberté personnelle du prévenu (ATF 137 IV 13 c. 4.5). La jurisprudence se montre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et de son agressivité (ATF 123 I 268 c. 2e). Au vu du milieu dans lequel le prévenu semble avoir évolué jusqu'alors et des six condamnations figurant déjà à son casier judiciaire, notamment pour brigandage, menaces et infraction grave à la loi fédérale sur les stupéfiants, il est à craindre, compte tenu de l'ensemble des circonstances, que le prévenu commette à nouveau des actes délictueux analogues à ceux qui lui sont reprochés. L'importance des biens à protéger, en particulier l'intégrité corporelle des personnes susceptibles d'être menacées, justifie à cet égard une grande prudence dans la pesée des intérêts en présence. C'est donc à juste titre que le Tribunal des mesures de contrainte a retenu que le risque de récidive demeurait concret.</w:t>
      </w:r>
    </w:p>
    <w:p>
      <w:r>
        <w:rPr>
          <w:b/>
        </w:rPr>
        <w:t>E. 3</w:t>
      </w:r>
    </w:p>
    <w:p>
      <w:r>
        <w:t>La détention provisoire doit encore être conforme au principe de la proportionnalité (art. 212 al. 3 CPP). En l’espèce, compte tenu des infractions faisant l'objet de l'instruction, les quelque trois mois et demi de détention subis à ce jour par X.________ demeurent proportionnés à la peine concrètement encourue en cas de condamnation. Il appartiendra néanmoins au procureur de clôturer promptement son instruction, soit par un renvoi en jugement, soit par une libération.</w:t>
      </w:r>
    </w:p>
    <w:p>
      <w:r>
        <w:rPr>
          <w:b/>
        </w:rPr>
        <w:t>E. 4</w:t>
      </w:r>
    </w:p>
    <w:p>
      <w:r>
        <w:t>En définitive, le recours doit être rejeté et l'ordonnance du 20 novembre 2014 confirmée. Les frais de la procédure de recours, constitués en l’espèce de l’émolument d'arrêt, par 770 fr. (art. 20 al. 1 TFIP [Tarif des frais de procédure et indemnités en matière pénale du 28 septembre 2010; RSV 312.03.]), et des frais imputables à la défense d’office (art. 422 al. 1 et 2 let. a CPP), fixés à 540 fr., plus la TVA par 43 fr. 20, soit au total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20 novembre 2014 est confirmée. III . L'indemnité allouée au défenseur d'office de X.________ est fixée à 583 fr. 20 (cinq cent huitante-trois francs et vingt centimes). IV. Les frais du présent arrêt, par 770 fr. (sept cent septante francs), ainsi que l'indemnité due au défenseur d'office de X.________, par 583 fr. 20 (cinq cent huitante-trois francs et vingt centimes), sont mis à la charge de ce dernier. V. Le remboursement à l'Etat de l'indemnité allouée au chiffre III ci-dessus  sera exigible pour autant que la situation économique de X.________ se soit améliorée. VI. Le présent arrêt est exécutoire. Le président :               La greffière : Du L'arrêt qui précède, dont la rédaction a été approuvée à huis clos, est notifié, par l'envoi d'une copie complète, à : - Mme Tiphanie Chappuis, avocate (pour X.________), - Ministère public central, et communiqué à : - M. le Président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