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1065 vom 10. Dezember 2014</w:t>
      </w:r>
    </w:p>
    <w:p>
      <w:r>
        <w:t>VD Tribunal cantonal, 2014-12-10, FR</w:t>
      </w:r>
    </w:p>
    <w:p>
      <w:r>
        <w:rPr>
          <w:b/>
        </w:rPr>
        <w:t xml:space="preserve">Quelle: </w:t>
      </w:r>
      <w:r>
        <w:t>https://mcp.opencaselaw.ch/entscheid/vd_findinfo_D_cision___2014___1065</w:t>
      </w:r>
    </w:p>
    <w:p>
      <w:r>
        <w:t>FR: VD_FINDINFO Décision / 2014 / 1065 du 10 décembre 2014</w:t>
      </w:r>
    </w:p>
    <w:p>
      <w:r>
        <w:t>IT: VD_FINDINFO Décision / 2014 / 1065 del 10 dicembre 2014</w:t>
      </w:r>
    </w:p>
    <w:p>
      <w:pPr>
        <w:pStyle w:val="Heading2"/>
      </w:pPr>
      <w:r>
        <w:t>Regeste</w:t>
      </w:r>
    </w:p>
    <w:p>
      <w:r>
        <w:t>RISQUE DE RÉCIDIVE, MESURE DE SUBSTITUTION À LA DÉTENTION, DÉTENTION PROVISOIRE | 221 al. 1 let. c CPP (CH), 225 al. 5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interjeté en temps utile devant l’autorité compétente et satisfaisant aux conditions de forme posées par l’art. 385 al. 1 CPP, le recours est recevable.</w:t>
      </w:r>
    </w:p>
    <w:p>
      <w:r>
        <w:rPr>
          <w:b/>
        </w:rPr>
        <w:t>E. 2</w:t>
      </w:r>
    </w:p>
    <w:p>
      <w:r>
        <w:t>C.________ fait tout d’abord valoir que l’état de fait de l’ordonnance attaquée serait incomplet, dans la mesure où le premier juge aurait omis de mentionner plusieurs événements antérieurs à la nuit du 14 au 15 novembre 2014, soit qu’il aurait, ensuite de son divorce, été suivi régulièrement par un psychiatre, qu’il serait alcoolique et souffrirait de fibromyalgie et de troubles cardiaques, qu’il aurait déposé plainte pour avoir, en mars 2014, été agressé au couteau aux Brandons de Payerne, ce qui l’aurait profondément marqué, que le 14 novembre 2014 au soir, il serait sorti avec son ex-compagne pour discuter de l’accident dont cette dernière aurait été victime le matin même, qu’au moment de rentrer chez lui, il aurait été alcoolisé et qu’ensuite de son audition par la police le lendemain, il aurait été hospitalisé une nuit au [...] en raison de ses problèmes cardiaques. Il résulte de la lecture de l’ordonnance attaquée que mis à part celui du 14 novembre 2014 au soir, tous les événements évoqués par le recourant sont mentionnés et résumés soit dans l’état de l’état, soit dans la partie « appréciation », ce qui est suffisant. Les faits qui auraient eu lieu la veille de l’agression n’apportent pas d’éléments nouveaux et utiles à l’examen de la présente cause, sauf à retenir qu’au moment où il est ressorti de chez lui, vers minuit, le prévenu était déjà fortement alcoolisé, ce qui se déduit de l’examen toxicologique faisant état d’une alcoolémie comprise entre 1,85 et 3,96 g ‰ lors des faits (P. 11), alors que le recourant affirme n’avoir bu, à ce moment-là, qu’une seule bière (PV aud. du 15 novembre 2015, p. 3, R. 5). Au demeurant, même complété dans cette mesure (cf. let. A.a supra ), l’état de fait ne change rien quant à l’appréciation de la cause, l’ordonnance attaquée étant suffisamment motivée et s’appuyant à juste titre sur les éléments déterminants.</w:t>
      </w:r>
    </w:p>
    <w:p>
      <w:r>
        <w:rPr>
          <w:b/>
        </w:rPr>
        <w:t>E. 3.1</w:t>
      </w:r>
    </w:p>
    <w:p>
      <w:r>
        <w:t>Le recourant – à raison – ne conteste pas les soupçons de culpabilité à son encontre. Il n'y a donc pas lieu de revenir sur ces éléments. Il conteste en revanche l’existence du risque de réitération (art. 221 al. 1 let. c CPP).</w:t>
      </w:r>
    </w:p>
    <w:p>
      <w:r>
        <w:rPr>
          <w:b/>
        </w:rPr>
        <w:t>E. 3.2</w:t>
      </w:r>
    </w:p>
    <w:p>
      <w:r>
        <w:t>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 infraction du même genre » indique que les infractions précédentes doivent être des crimes ou des délits et que l'infraction redoutée doit être similaire, sans pour autant être identique (Schmocker, in : Kuhn/Jeanneret (éd.), Commentaire romand, Code de procédure pénale suisse, Bâle 2011, n. 18 ad. art. 221 CPP; ATF 137 IV 13 c. 3 et 4). Le maintien en détention provisoire respectivement pour des motifs de sûreté se justifie si le pronostic est très défavorable et si les infractions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w:t>
      </w:r>
    </w:p>
    <w:p>
      <w:r>
        <w:rPr>
          <w:b/>
        </w:rPr>
        <w:t>E. 3.3</w:t>
      </w:r>
    </w:p>
    <w:p>
      <w:r>
        <w:t>En l’espèce, C.________ a déjà été condamné en 2004 notamment pour infraction à la LArm pour s’être promené avec un pistolet chargé et une balle dans le canon, alors qu’il était alcoolisé. Ces faits, ainsi que la propension du prénommé à être pris de boisson – qu’il admet lui-même et qui ressort également de ses condamnations en 2006 et 2008 pour conduite en état d’ébriété qualifié – incitent à la prudence. Ses précédentes condamnations n’ont par ailleurs eu aucun effet dissuasif, pas plus que le séquestre de son pistolet en 2004, puisque le recourant, qui est du reste mis en cause par son ex-femme et son fils pour les avoir, par le passé, menacés à plusieurs reprises avec une arme à feu, est prévenu de mise en danger de la vie d’autrui, menaces et infraction à la LArm, pour avoir, le 15 novembre 2014, alors qu’il était alcoolisé, pointé une arme à feu chargée en direction de la poitrine d’un passant, qui lui aurait demandé du feu pour sa cigarette, ce qu’il ne conteste pas, se limitant à dire qu’il ne s’en souviendrait pas. On constate à cet égard une escalade dans la gravité des agissements de l'intéressé, ce qui ne manque pas d’être préoccupant. On ignore en outre quand et comment le recourant, qui n’est pas titulaire du permis de port d’arme, a pu se procurer cette arme, d’ailleurs de même marque (Beretta) que celle séquestrée en 2004. De surcroît, le recourant ne semble pas avoir pris conscience de la gravité de ses agissements, quoi qu’il en dise. Il est allé jusqu’à affirmer que son fils devrait voir un psychiatre (PV aud. du 16 novembre 2014, ligne 60). L’agression dont il aurait été victime en février ou mars 2014, à Payerne, et qui, selon ses dires, l’aurait profondément marqué, au point de ne plus sortir de chez lui le soir (PV aud. du 18 novembre 2014, lignes 40 à 43), ne l’a pas pour autant empêché, la nuit du 15 novembre 2014, soit quelques mois plus tard, de menacer sans raison une tierce personne avec une arme à feu, alors qu’il n’était lui-même pas menacé. Ce comportement est d’autant plus inquiétant que le recourant, interrogé sur ses intentions, a dit qu’il était sorti avec son arme "pour [se] défendre" ou simplement pour "faire peur" (PV aud. du 15 novembre 2014, p. 3, R. 7). Il apparaît indiqué, dans ces circonstances, d’attendre les premiers résultats de l’expertise psychiatrique en vue de déterminer la dangerosité de C.________. Dans ces conditions et compte tenu de la gravité des faits reprochés et des troubles dont le prénommé paraît souffrir – l’Unité de psychiatrie ambulatoire du [...] faisant état d’une "pathologie psychiatrique invalidante qui affecte significativement à sévèrement ses facultés mnésiques, attentionnelles, exécutives, perceptives et de régulation affective et relationnelle (…) dans un contexte combiné de fragilité constitutionnelle et de vécu traumatique massif" (P. 15) – il est à craindre que le recourant, s’il était remis en liberté, ne commette de nouvelles infractions du même genre que celles qui lui valent les présentes poursuites. Le risque de récidive est donc manifeste et justifie son maintien en détention provisoire. La saisie de son arme ne supprime pas ce risque. Il n’est en effet pas exclu, au vu du fort sentiment d’insécurité que le prévenu explique ressentir lorsqu’il sort de chez lui le soir (PV aud. du 15 novembre 2014, p. 3, R. 7), qu’il se procure une arme ailleurs, de quelque nature qu’elle soit, plusieurs couteaux ayant d’ailleurs été découverts à son domicile au moment de la perquisition (cf. dossier joint du Ministère public central, P. 5). L’attestation de son ex-compagne du 28 novembre 2014 selon lequel l’intéressé n’aurait, durant leur vie commune, jamais présenté de danger pour elle et sa famille (P. 12/3.1) n’est pas non plus déterminante à cet égard ; d’ailleurs, la précision selon laquelle le recourant aurait, ensuite de son opération de cet été, "arrêté de boire de l’alcool" est contredite par les faits qui lui sont reprochés et par ses propres déclarations.</w:t>
      </w:r>
    </w:p>
    <w:p>
      <w:r>
        <w:rPr>
          <w:b/>
        </w:rPr>
        <w:t>E. 3.4</w:t>
      </w:r>
    </w:p>
    <w:p>
      <w:r>
        <w:t>Aucune mesure de substitution n’est susceptible de pallier ce risque (art. 212 al. 2 let. c CPP). En particulier, il appartiendra au juge du fond d’examiner, au vu des résultats de l’expertise psychiatrique, la nécessité d’un traitement institutionnel, tel que proposé par le prévenu (recours, p. 11).</w:t>
      </w:r>
    </w:p>
    <w:p>
      <w:r>
        <w:rPr>
          <w:b/>
        </w:rPr>
        <w:t>E. 3.5</w:t>
      </w:r>
    </w:p>
    <w:p>
      <w:r>
        <w:t>Enfin, le recourant est détenu depuis le 15 novembre 2014, soit depuis moins d’un mois. Compte tenu de la gravité des actes qui lui sont reprochés, il est exposé au prononcé d’une peine privative de liberté d’une durée supérieure à celle de la détention provisoire ordonnée, l’infraction de mise en danger de la vie d’autrui étant passible à elle seule d’une peine privative de liberté de cinq ans au plus ou d’une peine pécuniaire (art. 129 CP [Code pénal suisse du 21 décembre 1937 ; RS 311.0]). Le principe de la proportionnalité demeure donc respecté.</w:t>
      </w:r>
    </w:p>
    <w:p>
      <w:r>
        <w:rPr>
          <w:b/>
        </w:rPr>
        <w:t>E. 4</w:t>
      </w:r>
    </w:p>
    <w:p>
      <w:r>
        <w:t>Le recourant demande, à titre de mesures d’instruction, que soit versée au dossier la plainte qu’il aurait déposée ensuite de l’agression dont il aurait été victime aux Brandons de Payerne en 2014, "dans la mesure où cet événement a été le déclencheur de sa peur de sortir de chez lui le soir" (recours, p. 12). Il a été tenu compte de cet élément dans l’appréciation ci-avant (let. A.a et c. 3.3 supra ). Pour le surplus, ce moyen de preuve n’est pas déterminant à ce stade. Quant aux résultats des analyses toxicologiques effectuées le jour même de l’arrestation du prévenu et à l’attestation de son ex-compagne, ils ont été versés au dossier (P. 11 et 12/3.1) et pris en considération par la Cour de céans (c. 3.3 supra ). Enfin, C.________ demande à être entendu oralement par la Cour de céans. Or, si l’art. 225 CPP prévoit le droit à une audience orale devant le Tribunal des mesures de contrainte, le droit d’être entendu par la Chambre des recours pénale s’exerce par écrit (art. 397 al. 1 CPP), le droit d’être entendu découlant de l’art. 29 al. 2 Cst. (Constitution fédérale du 18 avril 1999 ; RS 101) ne comprenant pas celui d’être entendu oralement (ATF 134 I 140 c. 5.3).</w:t>
      </w:r>
    </w:p>
    <w:p>
      <w:r>
        <w:rPr>
          <w:b/>
        </w:rPr>
        <w:t>E. 5</w:t>
      </w:r>
    </w:p>
    <w:p>
      <w:r>
        <w:t>En définitive, le recours, manifestement mal fondé, doit être rejeté sans autre échange d’écritures (art. 390 al. 2 CPP) et l'ordonnance du 18 novembre 2014 confirmée. Les frais de la procédure de recours, constitués en l’espèce de l'émolument d'arrêt (art. 422 al. 1 CPP), par 990 fr. (art. 20 al. 1 TFIP  [tarif des frais de procédure et indemnités en matière pénale du 28 septembre 2010; RSV 312.03.1]), et des frais imputables à la défense d'office du recourant (art. 422 al. 1 et 2 let. a CPP), fixés à 750 fr. (six heures d'activité de l'avocat-stagiaire à 110 fr. de l'heure et une demi-heure d'activité de l'avocat à 180 fr. de l'heure), plus la TVA, par 60 fr., soit 810 fr.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18 novembre 2014 est confirmée. III. L'indemnité allouée au défenseur d'office de C.________ est fixée à 810 fr. (huit cent dix francs). IV. Les frais du présent arrêt, par 990 fr. (neuf cent nonante francs), ainsi que l'indemnité due au défenseur d'office de C.________ selon le chiffre III ci-dessus, sont mis à la charge de ce dernier. V. Le remboursement à l'Etat de l'indemnité allouée au chiffre III ci-dessus sera exigible pour autant que la situation de C.________ se soit améliorée. VI. Le présent arrêt est exécutoire. Le président : Le greffier : Du Le présent arrêt, dont la rédaction a été approuvée à huis clos, est notifié, par l'envoi d'une copie complète, à : - M. César Montalto, avocat (pour C.________), - Ministère public central, et communiqué à : ‑ M. le Président du Tribunal des mesures de contrainte, - M. le Procureur du Ministère public central, division affaires spéciales, contrôle et mineurs, - M. A.________,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