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1064 vom 5. Dezember 2014</w:t>
      </w:r>
    </w:p>
    <w:p>
      <w:r>
        <w:t>VD Tribunal cantonal, 2014-12-05, FR</w:t>
      </w:r>
    </w:p>
    <w:p>
      <w:r>
        <w:rPr>
          <w:b/>
        </w:rPr>
        <w:t xml:space="preserve">Quelle: </w:t>
      </w:r>
      <w:r>
        <w:t>https://mcp.opencaselaw.ch/entscheid/vd_findinfo_D_cision___2014___1064</w:t>
      </w:r>
    </w:p>
    <w:p>
      <w:r>
        <w:t>FR: VD_FINDINFO Décision / 2014 / 1064 du 5 décembre 2014</w:t>
      </w:r>
    </w:p>
    <w:p>
      <w:r>
        <w:t>IT: VD_FINDINFO Décision / 2014 / 1064 del 5 dicembre 2014</w:t>
      </w:r>
    </w:p>
    <w:p>
      <w:pPr>
        <w:pStyle w:val="Heading2"/>
      </w:pPr>
      <w:r>
        <w:t>Regeste</w:t>
      </w:r>
    </w:p>
    <w:p>
      <w:r>
        <w:t>RISQUE DE RÉCIDIVE, DÉTENTION PROVISOIRE | 221 al. 1 let. c CPP (CH), 221 al. 2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2.2</w:t>
      </w:r>
    </w:p>
    <w:p>
      <w:r>
        <w:t>Le recourant conteste l’existence de soupçons suffisants en faisant valoir que ceux-ci, en tout cas s’agissant de la contrainte sexuelle, reposeraient uniquement sur les déclarations de la plaignante. La cour de céans, dans son arrêt du 4 septembre 2014, a considéré que les déclarations de V.________ étaient plausibles. Elles étaient notamment étayées par un constat gynécologique établi par l'Hôpital du [...], à Vevey (présence d’une petite fissure péri-anale), ainsi que par la présence de draps souillés au domicile de la plaignante. La cour de céans a également rappelé les antécédents de violence physique et verbale du recourant, condamné pour injure et menaces le 28 août 2013, et a relevé que les menaces de mort proférées contre V.________ l’avaient été devant les inspecteurs de police et ressortaient du rapport établi le 26 mai 2014 (P. 5). Par ailleurs le prévenu avait admis les faits qui lui étaient reprochés par J.________. Ces constatations gardent aujourd’hui encore toute leur valeur. Au vu de ce qui précède, il existe contre le recourant des présomptions de culpabilité suffisantes.</w:t>
      </w:r>
    </w:p>
    <w:p>
      <w:r>
        <w:rPr>
          <w:b/>
        </w:rPr>
        <w:t>E. 3.1</w:t>
      </w:r>
    </w:p>
    <w:p>
      <w:r>
        <w:t>L’ordonnance attaquée se fonde sur le risque de réitération (art. 221 al. 1 let. c CPP), respectivement de passage à l’acte (art. 221 al. 2 CPP). Il convient au préalable de rappeler que la cour de céans examine librement, en fait et en droit, si les conditions de la détention provisoire persistent au moment où elle rend sa décision. Elle dispose à cet égard d’un pouvoir de cognition complet (art. 393 al. 2 CPP). Il n’y a dès lors pas lieu de limiter l’examen de la prolongation de la détention provisoire aux motifs retenus par le Tribunal des mesures de contrainte (CREP 4 septembre 2014/644 c. 2 ; CREP 21 mai 2014/353 c. 2).</w:t>
      </w:r>
    </w:p>
    <w:p>
      <w:r>
        <w:rPr>
          <w:b/>
        </w:rPr>
        <w:t>E. 3.2</w:t>
      </w:r>
    </w:p>
    <w:p>
      <w:r>
        <w:t>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w:t>
      </w:r>
    </w:p>
    <w:p>
      <w:r>
        <w:rPr>
          <w:b/>
        </w:rPr>
        <w:t>E. 3.3</w:t>
      </w:r>
    </w:p>
    <w:p>
      <w:r>
        <w:t>En l’espèce, le Dr [...], spécialiste en psychiatrie et psychothérapie, médecin traitant de M.________, a établi le 27 mai 2014 une attestation médicale aux termes de laquelle son patient présentait « des troubles psychiatriques sévères qui nécessitent l'hospitalisation en psychiatrie d'urgence car le risque de passage à l'acte auto et/ou hétéroagressif est présent ». Ce médecin a précisé que les événements survenus récemment dans la vie du recourant avaient aggravé la symptomatologie qui exigeait actuellement une prise en charge hospitalière spécialisée. En l’état, aucun élément ne permet de considérer que les risques révélés par ce praticien ne seraient plus d’actualité. Les considérations développées par la cour de céans dans ses arrêts du 10 juin 2014 et du 4 septembre 2014 pour admettre l’existence d’un risque de récidive conservent ainsi toute leur pertinence, en l’absence d’éléments nouveaux permettant de les remettre en cause. Le risque de récidive apparaît du reste encore concret après l’audition du recourant par le Ministère public le 9 octobre 2014. Il ressort en effet du procès-verbal établi à cette occasion que le recourant s’en est pris verbalement, mais avec violence à V.________, ainsi qu’aux autres participants, au point qu’une suspension de l’audience a dû être ordonnée pour lui permettre de se calmer. La plaignante, terrorisée et en pleurs, a quant à elle dû se retirer. Par surabondance, on relèvera que les considérations qui précèdent permettent également de conclure à l’existence d’un risque de passage à l’acte auto et/ou hétéroagressif (cf. art. 221 al. 2 CPP). La détention provisoire est donc également justifiée en raison du risque de passage à l’acte, étant rappelé que l’intéressé a menacé de mort V.________ et J.________. Les conclusions de l’expert psychiatre désigné par le procureur n’étant pas encore connues, les motifs de détention précités s’opposent à la libération de la détention provisoire du recourant. De plus, vu le danger que celui-ci représente, seul l’expert paraît habilité à se prononcer utilement sur l’adéquation de la mesure de substitution proposée (obligation de suivre un traitement médical). En l’état, et faute de renseignements suffisants, cette mesure, telle qu’elle est proposée, n’est pas suffisante pour prévenir le risque de récidive, respectivement de passage à l’acte.</w:t>
      </w:r>
    </w:p>
    <w:p>
      <w:r>
        <w:rPr>
          <w:b/>
        </w:rPr>
        <w:t>E. 4.1</w:t>
      </w:r>
    </w:p>
    <w:p>
      <w:r>
        <w:t>Concernant le respect du principe de la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l'espèce, M.________ est détenu depuis le 26 mai 2014, soit depuis un peu plus de six mois. Compte tenu de la gravité des actes qui lui sont reprochés et de ses antécédents, le recourant doit s’attendre au prononcé d’une peine d’une durée supérieure à celle de la détention provisoire ordonnée. Certes, les experts psychiatres n’ont pas encore déposé leur rapport, alors que la mesure a été ordonnée le 2 juillet 2014 (procès-verbal des opérations). On relève cependant qu’une éventuelle violation du principe de la célérité – la question peut être laissée indécise ici, le recours ne comportant aucune conclusion sur ce point – n'entraîne pas nécessairement la libération immédiate du recourant, dans la mesure où la détention demeure justifiée par le risque de récidive et où la durée de la détention apparaît encore proportionnée (cf. TF 1B_223/2013 du 16 juillet 2013 c. 5.3, et les références citées). Il importe toutefois que le procureur veille désormais à ce que les experts psychiatres déposent leur rapport dans les meilleurs délais ou, du moins, qu’il recueille sans tarder, le cas échéant oralement, leurs premières conclusions sur le risque de récidive et les moyens éventuels de le prévenir.</w:t>
      </w:r>
    </w:p>
    <w:p>
      <w:r>
        <w:rPr>
          <w:b/>
        </w:rPr>
        <w:t>E. 5</w:t>
      </w:r>
    </w:p>
    <w:p>
      <w:r>
        <w:t>Il résulte de ce qui précède que le recours, manifestement mal fondé, doit être rejeté sans autre échange d’écritures (art. 390 al. 2 CPP) et l'ordonnance attaquée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M.________ ne sera toutefois exigible que pour autant que la situation économique de ce dernier se soit améliorée (art. 135 al. 4 CPP). Par ces motifs, la Chambre des recours pénale prononce : I. Le recours est rejeté. II. L’ordonnance du 19 novembre 2014 est confirmée. III. L’indemnité allouée au défenseur d’office de M.________ est fixée à 583 fr. 20 (cinq cent huitante-trois francs et vingt centimes). IV. Les frais d’arrêt, par 770 fr. (sept cent septante francs), ainsi que l’indemnité due au défenseur d’office de M.________, par 583 fr. 20 (cinq cent huitante-trois francs et vingt centimes), sont mis à la charge de ce dernier. V. Le remboursement à l’Etat de l’indemnité allouée au chiffre III ci-dessus sera exigible pour autant que la situation économique de M.________ se soit amélorée. VI. Le présent arrêt est exécutoire. Le président :               Le greffier : Du L'arrêt qui précède, dont la rédaction a été approuvée à huis clos, est notifié, par l'envoi d'une copie complète, à : - Mme Cécile Maud Tirelli, avocate (pour M.________),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