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1052 vom 8. September 2014</w:t>
      </w:r>
    </w:p>
    <w:p>
      <w:r>
        <w:t>VD Tribunal cantonal, 2014-09-08, FR</w:t>
      </w:r>
    </w:p>
    <w:p>
      <w:r>
        <w:rPr>
          <w:b/>
        </w:rPr>
        <w:t xml:space="preserve">Quelle: </w:t>
      </w:r>
      <w:r>
        <w:t>https://mcp.opencaselaw.ch/entscheid/vd_findinfo_D_cision___2014___1052</w:t>
      </w:r>
    </w:p>
    <w:p>
      <w:r>
        <w:t>FR: VD_FINDINFO Décision / 2014 / 1052 du 8 septembre 2014</w:t>
      </w:r>
    </w:p>
    <w:p>
      <w:r>
        <w:t>IT: VD_FINDINFO Décision / 2014 / 1052 del 8 settembre 2014</w:t>
      </w:r>
    </w:p>
    <w:p>
      <w:pPr>
        <w:pStyle w:val="Heading2"/>
      </w:pPr>
      <w:r>
        <w:t>Regeste</w:t>
      </w:r>
    </w:p>
    <w:p>
      <w:r>
        <w:t>NON-LIEU, PLAINTE PÉNALE, DÉLAI LÉGAL | 31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plaignante, qui a la qualité pour recourir (cf.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3.1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Ce délai impératif de trois mois concerne uniquement les infractions poursuivies sur plainte.</w:t>
      </w:r>
    </w:p>
    <w:p>
      <w:r>
        <w:rPr>
          <w:b/>
        </w:rPr>
        <w:t>E. 3.2</w:t>
      </w:r>
    </w:p>
    <w:p>
      <w:r>
        <w:t>En l'espèce, contrairement à ce que soutient le recourant, il n'a pas déposé de plainte pénale auprès du médecin cantonal le 16 octobre 2013, mais a seulement dénoncé le comportement du SPJ, qui aurait violé le « secret médical ». Ainsi, c'est à juste titre que le Ministère public a considéré comme tardive la plainte déposée le 21 mai 2014 s'agissant des infractions contre l'honneur reprochées à H.________ lors d'un entretien ayant eu lieu le 17 mai 2013. Concernant l'infraction de séquestration, poursuivie d'office, la Cour de céans se réfère à la motivation détaillée et convaincante de la Procureure. En effet, le recourant n'avait pas qualité pour déposer plainte à l'encontre de l'hospitalisation puis du placement en foyer du fils de son ex-compagne. De plus, le placement de B.C.________ par le SPJ est intervenu dans un but de protection de l'enfant comme cela ressort de la conversation enregistrée du 17 mai 2013. Il n’existe ainsi pas le moindre indice d’un comportement pénalement répréhensible de la part de H.________.</w:t>
      </w:r>
    </w:p>
    <w:p>
      <w:r>
        <w:rPr>
          <w:b/>
        </w:rPr>
        <w:t>E. 3.3</w:t>
      </w:r>
    </w:p>
    <w:p>
      <w:r>
        <w:t>Au vu de ce qui précède, les éléments constitutifs d'une infraction pénale ne sont manifestement pas réunis. L'ordonnance du Ministère public de ne pas entrer en matière sur la plainte pénale de X.________ échappe donc à la critique.</w:t>
      </w:r>
    </w:p>
    <w:p>
      <w:r>
        <w:rPr>
          <w:b/>
        </w:rPr>
        <w:t>E. 4</w:t>
      </w:r>
    </w:p>
    <w:p>
      <w:r>
        <w:t>En définitive, le recours doit être rejeté sans autre échange d’écritures (art. 390 al. 2 CPP) et l’ordonnance attaquée confirmée. Quand bien même l’indigence du recourant est incontestable, la requête tendant à l’octroi de l'assistance judiciaire gratuite pour la procédure de recours doit être rejetée, dès lors que le recours apparaissait d’emblée dénué de chances de succès (cf. Ruckstuhl, in: Niggli/Heer/Wiprächtiger [éd.], Basler Kommentar, Schweizerische Strafprozessordnung, Jugendstrafprozessordnung, Bâle 2011, n. 10 ad art. 132 CPP; CREP 11 novembre 2013/673 c. 3; CREP 13 août 2013/505 c. 6; CREP 23 mai 2012/255 c. 4).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26 juin 2014 est confirmée. III. La requête tendant à l’octroi de l’assistance judiciaire gratuite pour la procédure de recours est rejetée. IV. Les frais de la procédure de recours, par 550 fr. (cinq cent cinquante francs), sont mis à la charge de X.________. V. Le présent arrêt est exécutoire. Le président :               La greffière : Du L'arrêt qui précède, dont la rédaction a été approuvée à huis clos, est notifié, par l'envoi d'une copie complète, à : - M. X.________, - Ministère public central, et communiqué à : ‑ Mme la Procureure de l'arrondissement de l'Est vaudois, - M. S.________, Service de la protection de la jeunesse, chef de service, - M. P.________, Service de la santé publique, médecin cantonal,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