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1050 vom 24. November 2014</w:t>
      </w:r>
    </w:p>
    <w:p>
      <w:r>
        <w:t>VD Tribunal cantonal, 2014-11-24, FR</w:t>
      </w:r>
    </w:p>
    <w:p>
      <w:r>
        <w:rPr>
          <w:b/>
        </w:rPr>
        <w:t xml:space="preserve">Quelle: </w:t>
      </w:r>
      <w:r>
        <w:t>https://mcp.opencaselaw.ch/entscheid/vd_findinfo_D_cision___2014___1050</w:t>
      </w:r>
    </w:p>
    <w:p>
      <w:r>
        <w:t>FR: VD_FINDINFO Décision / 2014 / 1050 du 24 novembre 2014</w:t>
      </w:r>
    </w:p>
    <w:p>
      <w:r>
        <w:t>IT: VD_FINDINFO Décision / 2014 / 1050 del 24 novembre 2014</w:t>
      </w:r>
    </w:p>
    <w:p>
      <w:pPr>
        <w:pStyle w:val="Heading2"/>
      </w:pPr>
      <w:r>
        <w:t>Regeste</w:t>
      </w:r>
    </w:p>
    <w:p>
      <w:r>
        <w:t>UNITÉ DE LA PROCÉDURE, DISJONCTION DE CAUSES, PRINCIPE DE LA CÉLÉRITÉ | 29 CPP (CH), 30 CPP (CH), 393 al. 1 let. a CPP (CH)</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RS 312.0]) est susceptible d’un recours immédiat au sens des art. 393 ss CPP (Stephenson/Thiriet, in : Niggli/Heer/Wiprächtiger [éd.], Basler Kommentar, Schweizerische Strafprozessordnung, Jugendstrafprozessordnung, Bâle 2011, n. 10 ad art. 393 CPP; CREP 25 mai 2012/305; CREP 10 avril 2012/225 c. 1a; CREP 22 mars 2012/193 c. 1). Elle peut être attaquée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dans le délai légal auprès de l’autorité compétente par une partie qui a qualité pour recourir (cf. art. 382 al. 1 CPP) et satisfaisant aux conditions de forme posées par l’art. 385 al. 1 CPP, le recours est recevable.</w:t>
      </w:r>
    </w:p>
    <w:p>
      <w:r>
        <w:rPr>
          <w:b/>
        </w:rPr>
        <w:t>E. 2.1</w:t>
      </w:r>
    </w:p>
    <w:p>
      <w:r>
        <w:t>A l'appui de l'ordonnance de disjonction attaquée, le Ministère public a considéré que les faits reprochés à C.________ étaient distincts de ceux reprochés à D.________, C.________ n'apparaissant pas impliqué dans l'activité délictueuse de ce dernier, et que comme l'instruction allait encore s'étendre sur plusieurs mois en tant qu'elle concernait les faits reprochés à D.________, la disjonction du cas de C.________ devait permettre de simplifier la procédure et de respecter le principe de la célérité. La recourante soutient pour l'essentiel qu'il n'existerait pas de motif suffisant pour qu'une disjonction soit ordonnée. Les faits reprochés à C.________ seraient en effet directement liés à ceux reprochés à D.________ et l'instruction n'aurait pas établi l'innocence de C.________, contrairement à ce que soutient ce dernier. En outre, compte tenu de l'état d'avancement du dossier, il n'existerait pas de motif justifiant que la procédure pénale contre D.________ dure encore plusieurs mois. Enfin, de nouvelles mesures d'instruction concernant les deux co-prévenus devraient être mises en oeuvre, si bien qu'une disjonction de procédures serait inopportune. Dans ses déterminations, C.________ soutient pour l'essentiel qu'un classement de la procédure en tant qu'elle le concerne apparaîtrait d'ores et déjà acquis, que la clôture de l'instruction en tant qu'elle concerne D.________ ne serait nullement imminente et enfin qu'un prolongement inutile de la procédure pénale dont il fait l'objet pourrait avoir des conséquences graves sur son activité professionnelle, qui est soumise au contrôle de l'Autorité de surveillance des marchés financiers (FINMA; cf. art. 4 al. 2 LFINMA [loi fédérale du 22 juin 2007 sur l’Autorité fédérale de surveillance des marchés financiers; RS 956.1]).</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un but d'économie de la procédure, mais aussi dans celui de prévenir des décisions contradictoires (cf. ATF 138 IV 214 c. 3.2; cf. ég. Moreillon/Parein-Reymond, Petit Commentaire du Code de procédure pénale, Bâle 2013, n. 2 ad art. 30 CPP). La disjonction doit dès lors être fondée sur des motifs concrets et objectifs (ATF 138 IV 214 c. 3.2). Elle doit avant tout servir à garantir la rapidité de la procédure, respectivement à éviter un retard inutile (ATF 138 IV 214 c. 3.2 et les références citées). La doctrine cite les exemples de la prescription imminente de certaines des infractions poursuivies ou de la situation où certains prévenus sont hors d'atteinte (ibidem). En revanche, de simples motifs de commodité ne sauraient justifier une disjonction (Bertossa, in : Kuhn/Jeanneret [éd.], Commentaire romand, Code de procédure pénale suisse, Bâle 2011, n. 2 ad art. 30 CPP).</w:t>
      </w:r>
    </w:p>
    <w:p>
      <w:r>
        <w:rPr>
          <w:b/>
        </w:rPr>
        <w:t>E. 2.3</w:t>
      </w:r>
    </w:p>
    <w:p>
      <w:r>
        <w:t>En l'espèce, il apparaît tout d'abord que les faits reprochés aux co-prévenus présentent un lien suffisant pour que leur poursuite soit en principe conjointe. Indépendamment du degré de sérieux des soupçons à l'encontre de C.________, il ressort en effet clairement de la plainte (P. 4) et des éléments mis en évidence dans l'acte de recours (ch. 1 à 5) que les actes que la recourante reproche à C.________ concernent essentiel­lement la facilitation et la "couverture" des activités délictueuses de D.________, de sorte que la connexité entre les faits reprochés à l'un et à l'autre des co-prévenus est évidente, de même que le risque de décisions contradictoires en cas d'instruction séparée.</w:t>
      </w:r>
    </w:p>
    <w:p>
      <w:r>
        <w:rPr>
          <w:b/>
        </w:rPr>
        <w:t>E. 2.4</w:t>
      </w:r>
    </w:p>
    <w:p>
      <w:r>
        <w:t>Il reste à déterminer s'il existe des motifs suffisants pour qu'une disjonction soit ordonnée. Selon le Ministère public, l'instruction en tant qu'elle concerne C.________ est d'ores et déjà terminée, tandis que plusieurs mois seront encore nécessaires s'agissant des faits reprochés à D.________. Le Ministère public n'a cependant pas exposé les éléments déterminants à ce titre, car il n'a ni indiqué quelles mesures d'instruction étaient encore envisagées ni ce qui conduisait à considérer qu'elles concerneraient uniquement D.________. La nécessité d'ordonner la disjonction requise ne ressort pas non plus des éléments au dossier. Ainsi, si C.________ se prévaut du fait que son innocence aurait été établie par l'instruction, ce qui justifierait selon lui une disjonction en vue d'un classement immédiat, il apparaît cependant que les conditions d'une disjonction pour ce motif ne sont pas réunies. En effet, l'instruction a certes mis en évidence des indices à décharge en faveur de C.________, notamment s'agissant d'un éventuel enrichissement, mais la situation de fait n'est pas suffisamment claire pour qu'il soit considéré de façon anticipée que l'intéressé est d'ores et déjà matériellement hors de cause. Les mesures d'instruction complémentaires évoquées par la recourante, qui consistent essentiellement en de nouvelles auditions des deux co-prévenus, semblent à l'inverse revêtir une certaine pertinence. Dans ces circonstances, une disjonction pourrait ne pas simplifier la procédure, mais au contraire se révéler contre-productive. La possible mise en péril de son activité professionnelle à laquelle C.________ affirme être exposé, que le Ministère public ne retient du reste pas dans son ordonnance, ne remet pas en cause cette appréciation. Dès lors, en l'absence de motif suffisant pour fonder la disjonction requise, le principe de l'unité de la procédure doit prévaloir.</w:t>
      </w:r>
    </w:p>
    <w:p>
      <w:r>
        <w:rPr>
          <w:b/>
        </w:rPr>
        <w:t>E. 3</w:t>
      </w:r>
    </w:p>
    <w:p>
      <w:r>
        <w:t>En définitive, le recours doit être admis et l'ordonnance du 26 septembre 2014 annulée. Les frais de la procédure de recours, constitués en l'espèce uniquement de l'émolument d'arrêt (art. 422 al. 1 CPP), par 660 fr. (art. 20 al. 1 TFIP  [Tarif des frais de procédure et indemnités en matière pénale du 28 septembre 2010; RSV 312.03.1]), seront mis à la charge de C.________, qui a conclu au rejet du recours et qui succombe (art. 428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26 septembre 2014 est annulée. III. Les frais de la procédure de recours, par 660 fr., sont mis à la charge de C.________. IV. Le présent arrêt est exécutoire. Le président :               Le greffier : Du L'arrêt qui précède, dont la rédaction a été approuvée à huis clos, est notifié, par l'envoi d'une copie complète, à : - Mme Aline Bonard, avocate (pour la société K.______SA), - M. Christian Favre, avocat (pour C.________), - M. Philippe Ciocca, avocat (pour D.________),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