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105 vom 6. Februar 2014</w:t>
      </w:r>
    </w:p>
    <w:p>
      <w:r>
        <w:t>VD Tribunal cantonal, 2014-02-06, FR</w:t>
      </w:r>
    </w:p>
    <w:p>
      <w:r>
        <w:rPr>
          <w:b/>
        </w:rPr>
        <w:t xml:space="preserve">Quelle: </w:t>
      </w:r>
      <w:r>
        <w:t>https://mcp.opencaselaw.ch/entscheid/vd_findinfo_D_cision___2014___105</w:t>
      </w:r>
    </w:p>
    <w:p>
      <w:r>
        <w:t>FR: VD_FINDINFO Décision / 2014 / 105 du 6 février 2014</w:t>
      </w:r>
    </w:p>
    <w:p>
      <w:r>
        <w:t>IT: VD_FINDINFO Décision / 2014 / 105 del 6 febbraio 2014</w:t>
      </w:r>
    </w:p>
    <w:p>
      <w:pPr>
        <w:pStyle w:val="Heading2"/>
      </w:pPr>
      <w:r>
        <w:t>Regeste</w:t>
      </w:r>
    </w:p>
    <w:p>
      <w:r>
        <w:t>DÉTENTION PROVISOIRE, SOUPÇON, RISQUE DE COLLUSION, RISQUE DE RÉCIDIVE, PROPORTIONNALITÉ | 212 al. 3 CPP (CH), 221 al. 1 let. b CPP (CH), 221 al. 1 let. c CPP (CH)</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devant l’autorité compétente et qui satisfait aux conditions de forme posées par l’art. 385 al. 1 CPP.</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La mise en détention provisoire n’est possible que s’il existe à l’égard de l’auteur présumé, et préalablement à toute autre cause, de graves soupçons de culpabilité d’avoir commis un crime ou un délit (ATF 139 IV 186 c. 2; Schmocker, in: Kuhn/Jeanneret [éd.], Commentaire romand, Code de procédure pénale suisse, Bâle 2011, nn. 7 ss ad art. 221 CPP, pp. 1024 ss). b) En l’espèce, le recourant ne conteste pas s’en être pris physiquement à F.________. Il conteste en revanche avoir usé d’une arme ou d’un objet dangereux en vue de menacer, respectivement frapper sa victime, et s’appuie sur le témoignage de V.________, amie du plaignant, pour confirmer ses dires. Toutefois, il apparaît que cette dernière a vu le plastique de protection du couteau quand bien même elle n’a pas vu le couteau en tant que tel. Elle a en outre affirmé que le recourant avait donné plusieurs coups de poing au visage de F.________ et qu’il avait lancé un verre sur celui-ci (PV aud. du 28 janvier 2014, p. 2). Ce témoignage contredit ainsi la version donnée par le recourant sur les événements du 20 janvier 2014. Quoi qu’il en soit, ce dernier admet s’être rendu au domicile du plaignant avec un couteau, peu importe que celui-ci soit en plastique (cf. PV aud. du 27 janvier 2014, p. 2). Ce couteau était dans son étui et se serait cassé, ce qui est cohérent avec la déposition de la victime. Au vu de ces éléments, il existe en l’état une présomption suffisamment sérieuse de culpabilité à l’encontre de A.________.</w:t>
      </w:r>
    </w:p>
    <w:p>
      <w:r>
        <w:rPr>
          <w:b/>
        </w:rPr>
        <w:t>E. 3</w:t>
      </w:r>
    </w:p>
    <w:p>
      <w:r>
        <w:t>Le recourant conteste l’existence d’un risque de collusion. a) Selon l’art. 221 al. 1 let. b CPP, le maintien en détention provisoire se justifie notamment lorsqu’il y a sérieusement lieu de craindre que le prévenu compromette la recherche de la vérité en exerçant une influence sur des personnes ou en altérant des moyens de preuve. Ce motif de détention avant jugement, souvent appelé «risque de collusion» – expression trop étroite puisque les personnes sur lesquelles le prévenu pourrait exercer une influence pour empêcher ou compromettre la recherche de la vérité (par exemple par la menace, la séduction ou la mise en commun d’intérêts identiques) peuvent être non seulement des coaccusés ou des complices, mais aussi la partie plaignante, les témoins, les experts ou toute autre personne amenée à participer à la procédure (Schmocker, op. cit., n. 14 et 15 ad art. 221 CPP ; cf. ATF 137 IV 122 c. 6.2 et 6.4) – vise à garantir la constatation exacte et complète des faits. b) En l’espèce, la Procureure a indiqué dans sa demande de détention provisoire que des témoins et la victime devaient être entendus, respectivement réentendus. L’instruction en cours devrait également permettre d’établir les échanges qui se sont déroulés sur le réseau social [...] et leur origine. A cet égard, le recourant a affirmé lors de son audition d’arrestation vouloir régler ce problème avec les personnes concernées dès sa sortie de prison (PV aud. 27 janvier 2014, p. 2). Ainsi, si A.________ venait à être libéré, il y a un fort risque qu’il prenne certaines mesures de nature à entraver la manifestation de la vérité. Le risque de collusion est dès lors concret. Par ailleurs, aucune mesure de substitution ne saurait pallier ce risque.</w:t>
      </w:r>
    </w:p>
    <w:p>
      <w:r>
        <w:rPr>
          <w:b/>
        </w:rPr>
        <w:t>E. 4</w:t>
      </w:r>
    </w:p>
    <w:p>
      <w:r>
        <w:t>L’ordonnance attaquée se fonde également sur le risque de récidive (art. 221 al. 1 let. c CPP). a) Le maintien en détention ne peut se justifier en raison d’un risque de réitération que si le pronostic est très défavorable et si les délits dont l'autorité redoute la réitération sont graves (ATF 137 IV 84 c. 4.5, JT 2011 IV 325; ATF 135 I 71 c. 2.3; ATF 133 I 270 c. 2.2 et les arrêts cités, JT 2011 IV 3; TF 1B_39/2013 du 14 février 2013 c. 2.1). La jurisprudence se montre toutefois moins stricte dans l'exigence de la vraisemblance lorsqu'il s'agit de délits de violence graves ou de délits sexuels, car le risque à faire courir aux victimes potentielles est alors considéré comme trop important; en pareil cas, il y a lieu de tenir compte de l'état psychique du prévenu, de son imprévisibilité ou de son agressivité (ATF 123 I 268 c. 2e p. 271).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 4.5). b) En l’occurrence, le recourant a déjà été condamné à trois reprises entre 2009 et 2010 notamment pour lésions corporelles simples, contrainte, violence ou menace contre les autorités et les fonctionnaires, voies de fait et injure. Malgré ces condamnations et l’enquête en cours depuis 2010, en particulier pour rixe et agression, le recourant n’a pas hésité à récidiver. En outre, une expertise psychiatrique étant en cours, une libération paraît peu opportune à tout le moins avant que les premières conclusions orales des experts soient délivrées. Dans ces conditions et au vu du caractère violent du recourant, le risque de réitération est également réalisé.</w:t>
      </w:r>
    </w:p>
    <w:p>
      <w:r>
        <w:rPr>
          <w:b/>
        </w:rPr>
        <w:t>E. 5</w:t>
      </w:r>
    </w:p>
    <w:p>
      <w:r>
        <w:t>Le recourant invoque une violation du principe de proportionnalité (art. 212 al. 3 CPP). a)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b) En l’espèce, A.________ est détenu depuis le 27 janvier 2014, soit depuis un peu plus de dix jours. Compte tenu de ses antécédents et des actes qui lui sont reprochés, le recourant s'expose à une peine privative de liberté d’une durée manifestement supérieure à celle de la détention provisoire subie à ce jour. Au vu de ces éléments, le principe de proportionnalité de la détention provisoire demeure respecté.</w:t>
      </w:r>
    </w:p>
    <w:p>
      <w:r>
        <w:rPr>
          <w:b/>
        </w:rPr>
        <w:t>E. 6</w:t>
      </w:r>
    </w:p>
    <w:p>
      <w:r>
        <w:t>Il résulte de ce qui précède que le recours, manifestement mal fondé, doit être rejeté sans autres échanges d’écritures (art. 390 al. 2 CPP). Les frais de la procédure de recours, constitués en l’espèce de l’émolument d'arrêt, par 770 fr. (art. 20 al. 1 TFJP [tarif des frais judiciaires pénaux; RSV 312.03.1]) et des frais imputables à la défense d’office (art. 422 al. 1 et 2 let. a CPP), fixés à 540 fr., plus la TVA par 43 fr. 20, soit un total de 583 fr. 20, seront mis à la charge de A.________,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29 janvier 2014 est confirmée. III. L’indemnité allouée au défenseur d'office de A.________ est fixée à 583 fr. 20 (cinq cent huitante-trois francs et vingt centimes). IV. Les frais du présent arrêt, par 770 fr. (sept cent septante francs), ainsi que l’indemnité due au défenseur d’office de A.________, par 583 fr. 20 (cinq cent huitante-trois francs et vingt centimes), sont mis à la charge de ce dernier. V. Le remboursement à l'Etat de l'indemnité allouée au chiffre III ci-dessus ne sera exigible que pour autant que la situation économique de A.________ se soit améliorée. VI. Le présent arrêt est exécutoire. Le président :               La greffière : Du L'arrêt qui précède, dont la rédaction a été approuvée à huis clos, est notifié, par l'envoi d'une copie complète, à : - M. David Métille, avocat (pour A.________), - Ministère public central, et communiqué à : - M. F.________, - Mme la Présidente du Tribunal des mesures de contrainte, - Mme la Procureure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