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1049 vom 1. Dezember 2014</w:t>
      </w:r>
    </w:p>
    <w:p>
      <w:r>
        <w:t>VD Tribunal cantonal, 2014-12-01, FR</w:t>
      </w:r>
    </w:p>
    <w:p>
      <w:r>
        <w:rPr>
          <w:b/>
        </w:rPr>
        <w:t xml:space="preserve">Quelle: </w:t>
      </w:r>
      <w:r>
        <w:t>https://mcp.opencaselaw.ch/entscheid/vd_findinfo_D_cision___2014___1049</w:t>
      </w:r>
    </w:p>
    <w:p>
      <w:r>
        <w:t>FR: VD_FINDINFO Décision / 2014 / 1049 du 1 décembre 2014</w:t>
      </w:r>
    </w:p>
    <w:p>
      <w:r>
        <w:t>IT: VD_FINDINFO Décision / 2014 / 1049 del 1 dicembre 2014</w:t>
      </w:r>
    </w:p>
    <w:p>
      <w:pPr>
        <w:pStyle w:val="Heading2"/>
      </w:pPr>
      <w:r>
        <w:t>Regeste</w:t>
      </w:r>
    </w:p>
    <w:p>
      <w:r>
        <w:t>LIBÉRATION CONDITIONNELLE, MESURE THÉRAPEUTIQUE INSTITUTIONNELLE | 59 CP, 62c CP, 38 LEP</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1.3</w:t>
      </w:r>
    </w:p>
    <w:p>
      <w:r>
        <w:t>et les références citées).</w:t>
      </w:r>
    </w:p>
    <w:p>
      <w:r>
        <w:rPr>
          <w:b/>
        </w:rPr>
        <w:t>E. 2</w:t>
      </w:r>
    </w:p>
    <w:p>
      <w:r>
        <w:t>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r>
        <w:rPr>
          <w:b/>
        </w:rPr>
        <w:t>E. 2.1</w:t>
      </w:r>
    </w:p>
    <w:p>
      <w:r>
        <w:t>Le recourant fait grief au Juge d’application des peines d’avoir violé les art. 59 ss CP en ne prenant pas suffisamment en compte sa situation actuelle, en particulier son évolution, telle qu’elle ressort de l’expertise psychiatrique du 4 septembre 2014.</w:t>
      </w:r>
    </w:p>
    <w:p>
      <w:r>
        <w:rPr>
          <w:b/>
        </w:rPr>
        <w:t>E. 2.2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w:t>
      </w:r>
    </w:p>
    <w:p>
      <w:r>
        <w:rPr>
          <w:b/>
        </w:rPr>
        <w:t>E. 2.3</w:t>
      </w:r>
    </w:p>
    <w:p>
      <w:r>
        <w:t>En l’espèce, le Juge d’application des peines doit se fonder sur l’ensemble des éléments pour poser un pronostic quant au comportement futur du condamné et non pas uniquement sur le rapport le plus récent présent au dossier. A cet égard, il s’est fondé sur les avis de nombreux intervenants, notamment de la CIC, de la Direction des EPO, de l’OEP ainsi que du Ministère public, tous émis ces derniers mois, pour relever que le recourant avait encore besoin d’un cadre structuré et sécurisé, accompagné d’un soutien psychothérapeutique, afin de prendre pleinement conscience de ses problématiques psychiques et de dépendance, de mettre en place des solutions pour contrôler celles-ci et ainsi de prévenir le risque élevé de récidive qu’il présentait toujours. Le Juge d’application des peines a mis en évidence la volonté d’évolution affichée par le recourant, lequel avait entamé un travail de réflexion et de compréhension sur lui-même et son mode de fonctionnement, travail qu’il devait absolument poursuivre. La mesure thérapeutique institutionnelle conserve ainsi encore tout son sens. En outre, contrairement à ce que soutient le recourant, le Juge d’application des peines s’est bien appuyé sur l’expertise psychiatrique du 4 septembre 2014 pour rendre sa décision. Il ressort notamment de cette expertise que le recourant se montre conscient des difficultés qu’il rencontrera dans la suite de son parcours et à l’extérieur, notamment vis-à-vis du risque de consommer des substances (P. 23, p. 22). Les experts ont précisé que l’intéressé semblait tirer bénéfice du cadre de la mesure institutionnelle et qu’une évolution pouvait être espérée, à condition qu’il continue à bénéficier d’un soutien psychothérapeutique et que les étapes se franchissent de manière très progressive (P. 23, p. 25). Ainsi, si le recourant semble être sur la bonne voie, il faut admettre, avec le Juge d’application des peines, qu’à ce stade, une levée de la mesure institutionnelle serait encore prématurée. Cela étant, tous les intervenants sont unanimes pour dire qu’il faut travailler sur la stabilité dans un contexte plus ouvert afin de ne pas anéantir les efforts fournis par le recourant et sur un lien de confiance entre celui-ci et les autorités, de sorte qu’un passage en secteur ouvert de la Colonie serait opportun. Ce sera toutefois à l’OEP de décider un tel placement selon l’art. 21 al. 2 let. d LEP. Au vu de ce qui précède, c’est à raison que le Juge d’application des peines a refusé d’accorder à Q.________ la libération conditionnelle de la mesure thérapeutique institutionnelle au sens de l’art. 59 al. 3 CP, ordonnée par jugement de la Cour de cassation pénale du Tribunal cantonal du 6 septembre 2010.</w:t>
      </w:r>
    </w:p>
    <w:p>
      <w:r>
        <w:rPr>
          <w:b/>
        </w:rPr>
        <w:t>E. 3.1</w:t>
      </w:r>
    </w:p>
    <w:p>
      <w:r>
        <w:t>Le recourant fait valoir que la prolongation de la mesure thérapeutique institutionnelle ne respecterait pas le principe de la proportionnalité.</w:t>
      </w:r>
    </w:p>
    <w:p>
      <w:r>
        <w:rPr>
          <w:b/>
        </w:rPr>
        <w:t>E. 3.2</w:t>
      </w:r>
    </w:p>
    <w:p>
      <w:r>
        <w:t>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conformément à l'art. 59 al. 4 CP (TF 6B_517/2013 du 19 juillet 2013 c. 1.1). Cette possibilité existe parce que les mesures thérapeutiques appliquées à des malades mentaux chroniques n'agissent souvent que très lentement (ATF 134 IV 315 c. 3.4.1 et les références citées). Lors de cet examen, le juge doit donner une importance accrue au respect du principe de la proportionnalité, d'autant plus que la prolongation revêt un caractère exceptionnel et qu'elle doit être particulièrement motivée (ATF 137 IV 201 c. 1.4; ATF 135 IV 139 c. 2.1; TF 6B_517/2013 du 19 juillet 2013 c. 1.1; Heer, in: Niggli/Wiprächtiger [éd.], Basler Kommentar, Strafrecht I, 3 e éd., Bâle 2013, n. 126 ad art. 59 CP).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Il convient également de tenir compte des effets positifs de la mesure dans l'intérêt de l'auteur (Dupuis et alii, Petit commentaire du Code pénal, Bâle 2012, nn. 7 ss ad art. 56 CP; TF 6B_517/2013 du 19 juillet 2013 c. 1.4.3).</w:t>
      </w:r>
    </w:p>
    <w:p>
      <w:r>
        <w:rPr>
          <w:b/>
        </w:rPr>
        <w:t>E. 3.3</w:t>
      </w:r>
    </w:p>
    <w:p>
      <w:r>
        <w:t>En l’espèce, il convient de rappeler que le recourant a été condamné pour plusieurs infractions, notamment pour des infractions contre l’intégrité sexuelle et corporelle. Les intérêts à protéger dans le cas d’espèce sont dès lors importants. En outre, si le recourant est privé de liberté depuis près de cinq ans, ayant été détenu préventivement pendant 259 jours, ce n’est qu’ensuite de l’arrêt de la Cour de cassation du 6 septembre 2010 que la privation de liberté est « entraînée par le traitement institutionnel » au sens de l’art. 59 al. 4 CP (cf. aussi Heer, op. cit., n. 129 ad art. 59 CPP). La mesure thérapeutique institutionnelle dure ainsi depuis moins de cinq ans. Cette atteinte aux droits de sa personnalité est atténuée du fait que le recourant a déjà bénéficié d'un allègement de son régime sous la forme d’un placement en secteur fermé à la Colonie dès le 1 er octobre 2012 et qu’il devrait pouvoir passer prochainement en milieu ouvert. Enfin, il faut tenir compte du fait que le traitement vise à améliorer l'état de santé de l’intéressé et produit donc aussi des effets positifs dans son intérêt. Les récents progrès réalisés par le recourant démontrent à cet égard l’utilité et la nécessité de la mesure. Par conséquent, à ce stade, on ne discerne pas de violation du principe de la proportionnalité.</w:t>
      </w:r>
    </w:p>
    <w:p>
      <w:r>
        <w:rPr>
          <w:b/>
        </w:rPr>
        <w:t>E. 4</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1’870 fr. (art. 20 al. 1 TFIP [tarif des frais de procédure et indemnités en matière pénale;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 novembre 2014 est confirmée III. L'indemnité allouée au défenseur d'office de Q.________ est fixée à 777 fr. 60 (sept cent septante-sept francs et soixante centimes). IV. Les frais d'arrêt, par 1’870 fr. (mille huit cent septante francs), ainsi que l'indemnité due au défenseur d'office de Q.________, par 777 fr. 60 (sept cent septante-sept francs et soixante centimes), sont mis à la charge de ce dernier. V. Le remboursement à l'Etat de l'indemnité allouée au chiffre III ci-dessus sera exigible pour autant que la situation économique de Q.________ se soit améliorée. VI. Le présent arrêt est exécutoire. Le président :               La greffière : Du L'arrêt qui précède, dont la rédaction a été approuvée à huis clos, est notifié, par l'envoi d'une copie complète, à : - M. Romain Jordan, avocat (pour Q.________), - Ministère public central, et communiqué à : ‑ Mme la Juge d’application des peines, - M. le Procureur de l’arrondissement de Lausanne, - M. D.________, OCTP, - Office d’exécution des peines (réf : OEP/MES/29103/AVI/ipe),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