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1047 vom 24. November 2014</w:t>
      </w:r>
    </w:p>
    <w:p>
      <w:r>
        <w:t>VD Tribunal cantonal, 2014-11-24, FR</w:t>
      </w:r>
    </w:p>
    <w:p>
      <w:r>
        <w:rPr>
          <w:b/>
        </w:rPr>
        <w:t xml:space="preserve">Quelle: </w:t>
      </w:r>
      <w:r>
        <w:t>https://mcp.opencaselaw.ch/entscheid/vd_findinfo_D_cision___2014___1047</w:t>
      </w:r>
    </w:p>
    <w:p>
      <w:r>
        <w:t>FR: VD_FINDINFO Décision / 2014 / 1047 du 24 novembre 2014</w:t>
      </w:r>
    </w:p>
    <w:p>
      <w:r>
        <w:t>IT: VD_FINDINFO Décision / 2014 / 1047 del 24 novembre 2014</w:t>
      </w:r>
    </w:p>
    <w:p>
      <w:pPr>
        <w:pStyle w:val="Heading2"/>
      </w:pPr>
      <w:r>
        <w:t>Regeste</w:t>
      </w:r>
    </w:p>
    <w:p>
      <w:r>
        <w:t>JONCTION DE CAUSES, UNITÉ DE LA PROCÉDURE | 29 CPP (CH), 30 CPP (CH)</w:t>
      </w:r>
    </w:p>
    <w:p>
      <w:pPr>
        <w:pStyle w:val="Heading2"/>
      </w:pPr>
      <w:r>
        <w:t>Erwägungen</w:t>
      </w:r>
    </w:p>
    <w:p>
      <w:r>
        <w:rPr>
          <w:b/>
        </w:rPr>
        <w:t>E. 24</w:t>
      </w:r>
    </w:p>
    <w:p>
      <w:r>
        <w:t>novembre 2014 __________________ Composition :               M. A B R E C H T, président MM. Krieger et Maillard, juges Greffier :              M. Ritter ***** Art.</w:t>
      </w:r>
    </w:p>
    <w:p>
      <w:r>
        <w:rPr>
          <w:b/>
        </w:rPr>
        <w:t>E. 29</w:t>
      </w:r>
    </w:p>
    <w:p>
      <w:r>
        <w:t>al. 1 let. a CPP sont dès lors à l’évidence réunies. La jonction est ainsi parfaitement justifiée. 3. Il résulte de ce qui précède que le recours, manifestement mal fondé, doit être rejeté sans autres échanges d’écritures (art. 390 al. 2 CPP) et l’ordonnance confirmée. Les frais de la procédure de recours, limités en l’espèce à l’émolument d'arrêt (art. 422 al. 1 CPP), par 440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11 novembre 2014 est confirmée. III. Les frais du présent arrêt, par 440 fr. (quatre cent quarante francs), sont mis à la charge de A.Z.________. IV. Le présent arrêt est exécutoire. Le président :               Le greffier : Du L'arrêt qui précède, dont la rédaction a été approuvée à huis clos, est notifié, par l'envoi d'une copie complète, à : - Mme A.Z.________, - M. B.Z.________, - [...], - [...], - [...], - [...], - Direction de l’enfance, de la jeunesse et de la cohésion sociale, service social, Commune de Lausanne,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