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1046 vom 17. November 2014</w:t>
      </w:r>
    </w:p>
    <w:p>
      <w:r>
        <w:t>VD Tribunal cantonal, 2014-11-17, FR</w:t>
      </w:r>
    </w:p>
    <w:p>
      <w:r>
        <w:rPr>
          <w:b/>
        </w:rPr>
        <w:t xml:space="preserve">Quelle: </w:t>
      </w:r>
      <w:r>
        <w:t>https://mcp.opencaselaw.ch/entscheid/vd_findinfo_D_cision___2014___1046</w:t>
      </w:r>
    </w:p>
    <w:p>
      <w:r>
        <w:t>FR: VD_FINDINFO Décision / 2014 / 1046 du 17 novembre 2014</w:t>
      </w:r>
    </w:p>
    <w:p>
      <w:r>
        <w:t>IT: VD_FINDINFO Décision / 2014 / 1046 del 17 novembre 2014</w:t>
      </w:r>
    </w:p>
    <w:p>
      <w:pPr>
        <w:pStyle w:val="Heading2"/>
      </w:pPr>
      <w:r>
        <w:t>Regeste</w:t>
      </w:r>
    </w:p>
    <w:p>
      <w:r>
        <w:t>VOIES DE FAIT, CLASSEMENT DE LA PROCÉDURE | 126 al. 1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CPP), et satisfaisant aux conditions de forme posées par la loi (cf.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w:t>
      </w:r>
    </w:p>
    <w:p>
      <w:r>
        <w:rPr>
          <w:b/>
        </w:rPr>
        <w:t>E. 2.2</w:t>
      </w:r>
    </w:p>
    <w:p>
      <w:r>
        <w:t>En l'espèce, à l'appui du classement, le Ministère public a en bref considéré que la version de la prévenue était confirmée par les déclarations de G.________, sa supérieure hiérarchique, qui avait été entendue par la police en qualité de personne appelée à donner des renseignements (cf. art. 178 CPP), et accréditée par la bonne réputation dont la prévenue jouissait. Il a refusé de procéder à des mesures d'instruction supplémentaires, soit notamment aux auditions de témoins requises par la recourante, car celles-ci n'étaient pas susceptibles d'apporter des éléments nouveaux et n'étaient pas justifiées au vu de la gravité toute relative des faits allégués. La recourante reproche au Ministère public de ne pas l'avoir entendue et d'avoir refusé de procéder à l'audition de deux témoins qui se seraient trouvés en sa compagnie au moment des faits.</w:t>
      </w:r>
    </w:p>
    <w:p>
      <w:r>
        <w:rPr>
          <w:b/>
        </w:rPr>
        <w:t>E. 2.3</w:t>
      </w:r>
    </w:p>
    <w:p>
      <w:r>
        <w:t>Les griefs de la recourante sont fondés. Le Ministère public n'aurait pas dû se contenter des auditions de la prévenue et de sa supérieure hiérarchique, elle-même impliquée dans l'incident. En effet, contrairement à ce que le Ministère public a retenu, procéder à l'audition de la recourante et des deux témoins proposés par cette dernière pourrait apporter des éléments nouveaux et le seul fait que le cas soit de relativement peu de gravité ne justifie pas qu'il y soit renoncé. En outre, même si les investigations de la police, dont on ne connaît pas le détail, n'ont pas permis de retrouver l'agent de sécurité impliqué (cf. P. 4, p. 5), des mesures d'instruction complémentaires auraient dû être mises en œuvre en vue de son identification et de son audition, compte tenu de son rôle présumé dans l'affaire. En bref, la procédure a été classée de façon prématurée et le Ministère public devra procéder aux mesures d'instruction précitées.</w:t>
      </w:r>
    </w:p>
    <w:p>
      <w:r>
        <w:rPr>
          <w:b/>
        </w:rPr>
        <w:t>E. 3</w:t>
      </w:r>
    </w:p>
    <w:p>
      <w:r>
        <w:t>Au vu de ce qui précède, le recours doit être admis. L’ordonnance attaquée sera annulée et le dossier de la cause renvoyé au Ministère public pour qu’il procède dans le sens des considérants. Les frais de la procédure de recours, constitués en l'espèce uniquement de l'émolument d'arrêt, par 550 fr. (art. 20 al. 1 TFIP  [Tarif des frais de procédure et indemnités en matière pénale du 28 septembre 2010; RSV 312.03.1]), seront laissés à la charge de l'Etat (art. 423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10 septembre 2014 est annulée. III. Le dossier de la cause est renvoyé au Ministère public de l'arrondissement de l'Est vaudois pour qu’il procède dans le sens des considérants. IV. Les frais de la procédure de recours, par 550 fr., sont laissés à la charge de l'Etat. V. Le présent arrêt est exécutoire. Le président :               Le greffier : Du L'arrêt qui précède, dont la rédaction a été approuvée à huis clos, est notifié, par l'envoi d'une copie complète, à : - Mme Véronique Fontana, avocate (pour K.________), - Mme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