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1044 vom 30. September 2014</w:t>
      </w:r>
    </w:p>
    <w:p>
      <w:r>
        <w:t>VD Tribunal cantonal, 2014-09-30, FR</w:t>
      </w:r>
    </w:p>
    <w:p>
      <w:r>
        <w:rPr>
          <w:b/>
        </w:rPr>
        <w:t xml:space="preserve">Quelle: </w:t>
      </w:r>
      <w:r>
        <w:t>https://mcp.opencaselaw.ch/entscheid/vd_findinfo_D_cision___2014___1044</w:t>
      </w:r>
    </w:p>
    <w:p>
      <w:r>
        <w:t>FR: VD_FINDINFO Décision / 2014 / 1044 du 30 septembre 2014</w:t>
      </w:r>
    </w:p>
    <w:p>
      <w:r>
        <w:t>IT: VD_FINDINFO Décision / 2014 / 1044 del 30 settembre 2014</w:t>
      </w:r>
    </w:p>
    <w:p>
      <w:pPr>
        <w:pStyle w:val="Heading2"/>
      </w:pPr>
      <w:r>
        <w:t>Regeste</w:t>
      </w:r>
    </w:p>
    <w:p>
      <w:r>
        <w:t>CLASSEMENT DE LA PROCÉDURE, INFRACTIONS CONTRE LE DOMAINE SECRET |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inscription ad 4 août 2014 ; cf. également CREP 24 septembre 2014/694, concernant le recourant). En l’absence de soupçons suffisants, les conditions de l’ouverture d’une instruction pénale ne sont pas réunies (art. 309 al. 1 let. a a contrario CPP). C’est donc à raison que le Ministère public a rendu une ordonnance de non-entrée en matière.</w:t>
      </w:r>
    </w:p>
    <w:p>
      <w:r>
        <w:rPr>
          <w:b/>
        </w:rPr>
        <w:t>E. 2.1</w:t>
      </w:r>
    </w:p>
    <w:p>
      <w:r>
        <w:t>Les conclusions prises par le recourant ne sont pas très claires. Le recours, dirigé contre une ordonnance de non-entrée en matière, ne peut tendre qu’à l’annulation de l’ordonnance et au renvoi du dossier au Ministère public pour l’ouverture d’une instruction pénale sur les faits dénoncés.</w:t>
      </w:r>
    </w:p>
    <w:p>
      <w:r>
        <w:rPr>
          <w:b/>
        </w:rPr>
        <w:t>E. 2.2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2.3</w:t>
      </w:r>
    </w:p>
    <w:p>
      <w:r>
        <w:t>S’agissant des ouvertures qui auraient été pratiquées dans les murs de l’appartement du recourant pour y placer des appareils de surveillance, seules les infractions d’enregistrement non autorisé de conversations (art. 179 ter CP) et de violation du domaine secret ou du domaine privé au moyen d’un appareil de prise de vues (art. 179 quater CP) sont susceptibles d’entrer en ligne de compte. Or, ces infractions ne se poursuivent que sur plainte. Le droit de porter plainte se prescrit par trois mois, à compter du jour où l’ayant droit a connu l’auteur de l’infraction (art. 31 CP). En l’espèce, les faits sont en tout cas antérieurs au 24 avril 2013, date de la transaction devant le Tribunal des baux, laquelle se réfère aux « ouvertures » en question. Déposée le 7 juillet 2014, la plainte est ainsi manifestement tardive au regard de l’art. 31 CP. Au surplus, il n’y pas d’indices suffisants laissant supposer que les infractions précitées auraient été commises. Il en va de même en ce qui concerne de prétendus accès indus au système informatique du recourant (art. 143 bis CP). Il ressort en effet du procès-verbal des opérations que la police cantonale a déjà été saisie de nombreuses plaintes d’P.________ à ce propos et que les investigations entreprises par la Division criminalité informatique de la police de sûreté ont démontré que c’étaient les propres appareils du plaignant qui se connectaient. Il avait été suggéré à l’intéressé de faire établir un rapport d’intrusion par un informaticien qualifié, ce qu’il n’avait pas fait (PV des opérations, p.</w:t>
      </w:r>
    </w:p>
    <w:p>
      <w:r>
        <w:rPr>
          <w:b/>
        </w:rPr>
        <w:t>E. 3</w:t>
      </w:r>
    </w:p>
    <w:p>
      <w:r>
        <w:t>En définitive, le recours doit être rejeté sans autre échange d’écritures (art. 390 al. 2 CPP) et l’ordonnance du 11 août 2014 confirmée. La requête d’assistance judiciaire tendant à l’exonération des frais de la procédure de recours sera rejetée, car le recours était d’emblée dénué de chances de succès (CREP 24 juillet 2014/512 ; CREP 28 janvier 2013/37 et les références citées).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août 2014 est confirmée. III. La requête d’assistance judiciaire tendant à l’exonération des frais de la procédure de recours est rejetée. IV. Les frais d’arrêt, par 550 (cinq cent cinquante francs), sont mis à la charge d’P.________. V. Le présent arrêt est exécutoire. Le président :               Le greffier : Du L'arrêt qui précède, dont la rédaction a été approuvée à huis clos, est notifié, par l'envoi d'une copie complète, à :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