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1042 vom 14. Oktober 2014</w:t>
      </w:r>
    </w:p>
    <w:p>
      <w:r>
        <w:t>VD Tribunal cantonal, 2014-10-14, FR</w:t>
      </w:r>
    </w:p>
    <w:p>
      <w:r>
        <w:rPr>
          <w:b/>
        </w:rPr>
        <w:t xml:space="preserve">Quelle: </w:t>
      </w:r>
      <w:r>
        <w:t>https://mcp.opencaselaw.ch/entscheid/vd_findinfo_D_cision___2014___1042</w:t>
      </w:r>
    </w:p>
    <w:p>
      <w:r>
        <w:t>FR: VD_FINDINFO Décision / 2014 / 1042 du 14 octobre 2014</w:t>
      </w:r>
    </w:p>
    <w:p>
      <w:r>
        <w:t>IT: VD_FINDINFO Décision / 2014 / 1042 del 14 ottobre 2014</w:t>
      </w:r>
    </w:p>
    <w:p>
      <w:pPr>
        <w:pStyle w:val="Heading2"/>
      </w:pPr>
      <w:r>
        <w:t>Regeste</w:t>
      </w:r>
    </w:p>
    <w:p>
      <w:r>
        <w:t>PROCÉDURE PÉNALE DES MINEURS, NON-LIEU, FRAIS DE LA PROCÉDURE, PRINCIPE DE LA BONNE FOI | 319 al. 1 CPP, 3 al. 2 let. a CPP (CH)</w:t>
      </w:r>
    </w:p>
    <w:p>
      <w:pPr>
        <w:pStyle w:val="Heading2"/>
      </w:pPr>
      <w:r>
        <w:t>Erwägungen</w:t>
      </w:r>
    </w:p>
    <w:p>
      <w:r>
        <w:rPr>
          <w:b/>
        </w:rPr>
        <w:t>E. 1.1</w:t>
      </w:r>
    </w:p>
    <w:p>
      <w:r>
        <w:t>Le recours a été interjeté dans le délai légal (art. 322 al. 2 et art. 396 al. 1 CPP), contre une décision de la Présidente du Tribunal des mineurs, soit par le juge des mineurs (art. 3 al. 1 et 39 al. 1 PPMin [loi fédérale sur la procédure pénale applicable aux mineurs du 20 mars 2009; RS 312.1] ; CREP 24 septembre 2014/702 c. 1). La prévenue libérée, mineure, agissant par sa mère, représentante légale (art. 304 ch. 1 let. a al. 1 CC [Code civil; RS 210]), a qualité pour recourir pour ce qui est des effets accessoires du classement, soit sur les conséquences économiques de celui-ci (art. 382 al. 1 CPP; CREP 1 er octobre 2014/823 c. 1). Interjeté de surcroît dans les formes prescrites (art. 385 al. 1 CPP), après que la recourante ait complété son acte à la réquisition de la direction de la procédure (art. 385 al. 2 CPP), le recours est recevable.</w:t>
      </w:r>
    </w:p>
    <w:p>
      <w:r>
        <w:rPr>
          <w:b/>
        </w:rPr>
        <w:t>E. 1.2</w:t>
      </w:r>
    </w:p>
    <w:p>
      <w:r>
        <w:t>Les frais contestés s’élevant à 100 fr., la valeur litigieuse place le recours dans la compétence du Juge unique de la Chambre des recours pénale (art. 395 let. b CPP et art. 13 al. 2 LVCPP [loi vaudoise d’introduction du Code de procédure pénale suisse; RSV 312.01]).</w:t>
      </w:r>
    </w:p>
    <w:p>
      <w:r>
        <w:rPr>
          <w:b/>
        </w:rPr>
        <w:t>E. 2.1</w:t>
      </w:r>
    </w:p>
    <w:p>
      <w:r>
        <w:t>Le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p. 237 et les références citées). Le droit d'être entendu est un droit de nature formelle, dont la violation doit entraîner en principe l'annulation de la décision attaquée avec renvoi du dossier à l'autorité saisie de la cause pour nouvelle décision (ATF 133 I 201 c. 2.2).</w:t>
      </w:r>
    </w:p>
    <w:p>
      <w:r>
        <w:rPr>
          <w:b/>
        </w:rPr>
        <w:t>E. 2.2</w:t>
      </w:r>
    </w:p>
    <w:p>
      <w:r>
        <w:t>Dans le cas particulier, la décision sur les effets accessoires du classement, soit sur ses conséquences économiques, est fondée sur le motif que la prévenue avait provoqué illicitement et fautivement l'ouverture de la procédure au sens de l’art. 426 al. 2 CPP. Il incombait à la Présidente du Tribunal des mineurs de motiver séparément sa décision sur les effets accessoires du classement, tout comme elle l’a fait s’agissant du sort de la procédure pénale, en exposant concrètement la raison pour laquelle elle considérait que la prévenue avait provoqué l'ouverture de la procédure par son comportement illicite (cf. CREP 19 décembre 2013/767 c. 2). A cela s’ajoute que le procès-verbal de l’audience de conciliation mentionne expressément qu’une fois effectué le paiement promis en faveur de S.________, «(…) une ordonnance de classement sera rendue, sans autre avis de prochaine clôture et frais à l’Etat». La recourante, mineure non assistée, pouvait dès lors légitimement en inférer que les procédures ouvertes ensuite des plaintes réciproques seraient sans autre clôturées aux frais de l’Etat, cela d’autant plus qu’il est manifeste que le texte de cet accord a été rédigé sous la supervision du procureur. La mise à la charge de la recourante de frais de procédure, dans quelque mesure que ce soit, contredit donc de manière flagrante le principe de la protection de la bonne foi, codifié notamment à l’art. 3 al. 2 let. a CPP. Partant, aucun frais ne saurait être mis à la charge de la prévenue.</w:t>
      </w:r>
    </w:p>
    <w:p>
      <w:r>
        <w:rPr>
          <w:b/>
        </w:rPr>
        <w:t>E. 3</w:t>
      </w:r>
    </w:p>
    <w:p>
      <w:r>
        <w:t>En définitive, le recours doit être admis et l’ordonnance de classement réformée au chiffre III de son dispositif en ce sens que les frais de procédure sont laissés à la charge de l’Etat. La recourante obtenant gain de cause, les frais de la procédure de recours, constitués de l’émolument d'arrêt (art. 422 al. 1 CPP), par 225 fr. (art. 20   al. 1 et 2 TFIP [Tarif des frais de procédure et indemnités en matière pénale du 28 septembre 2010; RSV 312.03.1]), seront laissés à la charge de l’Etat (art. 423 et 428 al. 1 CPP). Par ces motifs, le juge unique prononce : I. Le recours est admis. II. L’ordonnance du 10 septembre 2014 est réformée au chiffre III de son dispositif en ce sens que les frais de procédure sont laissés à la charge de l’Etat. III. Les frais du présent arrêt, par 225 fr. (deux cent vingt-cinq francs), sont laissés à la charge de l’Etat. IV. Le présent arrêt est exécutoire. Le juge unique :               Le greffier : Du L'arrêt qui précède, dont la rédaction a été approuvée à huis clos, est notifié, par l'envoi d'une copie complète, à : - Mme [...] (pour S.________),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