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 vom 21. Januar 2014</w:t>
      </w:r>
    </w:p>
    <w:p>
      <w:r>
        <w:t>VD Tribunal cantonal, 2014-01-21, FR</w:t>
      </w:r>
    </w:p>
    <w:p>
      <w:r>
        <w:rPr>
          <w:b/>
        </w:rPr>
        <w:t xml:space="preserve">Quelle: </w:t>
      </w:r>
      <w:r>
        <w:t>https://mcp.opencaselaw.ch/entscheid/vd_findinfo_D_cision___2014___104</w:t>
      </w:r>
    </w:p>
    <w:p>
      <w:r>
        <w:t>FR: VD_FINDINFO Décision / 2014 / 104 du 21 janvier 2014</w:t>
      </w:r>
    </w:p>
    <w:p>
      <w:r>
        <w:t>IT: VD_FINDINFO Décision / 2014 / 104 del 21 gennaio 2014</w:t>
      </w:r>
    </w:p>
    <w:p>
      <w:pPr>
        <w:pStyle w:val="Heading2"/>
      </w:pPr>
      <w:r>
        <w:t>Regeste</w:t>
      </w:r>
    </w:p>
    <w:p>
      <w:r>
        <w:t>NON-LIEU | 309 al. 1 let. a CPP (CH), 310 CPP (CH)</w:t>
      </w:r>
    </w:p>
    <w:p>
      <w:pPr>
        <w:pStyle w:val="Heading2"/>
      </w:pPr>
      <w:r>
        <w:t>Erwägungen</w:t>
      </w:r>
    </w:p>
    <w:p>
      <w:r>
        <w:rPr>
          <w:b/>
        </w:rPr>
        <w:t>E. 1</w:t>
      </w:r>
    </w:p>
    <w:p>
      <w:r>
        <w:t>Le recours a été interjeté en temps utile (art. 322 al. 2 CPP, applicable par renvoi de l’art. 310 al. 2 CPP, et 384 let. b CPP) contre une décision du Ministère public (cf. art. 310 et 393 al. 1 let. a CPP [Code de procédure pénale suisse du 5 octobre 2007 ; RS 312.0]) par la partie plaignante, qui a qualité pour recourir (art. 382 al. 1 CPP).</w:t>
      </w:r>
    </w:p>
    <w:p>
      <w:r>
        <w:rPr>
          <w:b/>
        </w:rPr>
        <w:t>E. 2</w:t>
      </w:r>
    </w:p>
    <w:p>
      <w:r>
        <w:t>A lire la plainte déposée par U.________, on comprend que celui-ci reproche aux deux prévenues d’avoir menti lorsqu'elle ont été entendues en qualité de témoins devant le Juge d'application des peines. Cette plainte est suffisamment claire et il convient d'examiner si, au vu de son contenu, le Procureur général pouvait renoncer à l'ouverture d'une action pénale.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3.2</w:t>
      </w:r>
    </w:p>
    <w:p>
      <w:r>
        <w:t>En l'espèce, le procureur a considéré que A.B.________ et I.________, lors de leur récit des événements survenus en septembre 2013, ne s'étaient pas rendues coupables d'une quelconque infraction. Le Parquet perd toutefois de vue que les faits relatés par la fille et la voisine du recourant ne concernaient pas uniquement ces événements-là; A.B.________ ayant encore évoqué un échange qui aurait eu lieu plus tard au sujet de la mise en place d'une barrière et au cours duquel U.________ aurait tenu des propos menaçants. Quant à la fille du plaignant, elle n’a pas du tout évoqué l'épisode du mois de septembre 2013; elle a en revanche parlé de sa relation avec son père, qu'elle a présenté comme un individu imprévisible, potentiellement dangereux, que la prison n'aurait pas changé, et dont elle voulait rester à distance, pour se préserver, ainsi que sa famille.U.________ s'oppose également à ces dires, qu'il tient en outre pour mensongers. Dès lors, un éventuel faux témoignage ne saurait être exclu et c'est à tort que le Ministère a refusé d’entrer en matière.</w:t>
      </w:r>
    </w:p>
    <w:p>
      <w:r>
        <w:rPr>
          <w:b/>
        </w:rPr>
        <w:t>E. 4</w:t>
      </w:r>
    </w:p>
    <w:p>
      <w:r>
        <w:t>Il résulte de ce qui précède que le recours doit être admis, l’ordonnance de non-entrée en matière du 8 janvier 2014 annulée et la cause renvoyée au Procureur général pour qu’il ouvre une instruction sur la base des faits dénoncés par le plaignant. Le recourant obtenant gain de cause, les frais d'arrêt, par 660 fr. (art. 20 al. 1 TFJP [tarif des frais judiciaires pénaux du 28 septembre 2010; RSV 312.03.1]), seront laissés à la charge de l'Etat (art. 423 al. 1 CPP). Par ces motifs, la Chambre des recours pénale, statuant à huis clos, prononce : I. Le recours est admis. II. L’ordonnance du 8 janvier 2014 est annulée. III. Le dossier de la cause est renvoyé au Procureur général du canton de Vaud pour qu’il procède dans le sens des considérants. III. Les frais d’arrêt, par 660 fr. (six cent soixante francs), sont laissés à la charge de l'Etat. IV. Le présent arrêt est exécutoire. Le président :               La greffière : Du L'arrêt qui précède, dont la rédaction a été approuvée à huis clos, est notifié, par l'envoi d'une copie complète, à : - M. U.________, - M. le Procureur général du canton de Vaud, et communiqué à : - Me Jean Lob, avocat,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