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1035 vom 20. November 2014</w:t>
      </w:r>
    </w:p>
    <w:p>
      <w:r>
        <w:t>VD Tribunal cantonal, 2014-11-20, FR</w:t>
      </w:r>
    </w:p>
    <w:p>
      <w:r>
        <w:rPr>
          <w:b/>
        </w:rPr>
        <w:t xml:space="preserve">Quelle: </w:t>
      </w:r>
      <w:r>
        <w:t>https://mcp.opencaselaw.ch/entscheid/vd_findinfo_D_cision___2014___1035</w:t>
      </w:r>
    </w:p>
    <w:p>
      <w:r>
        <w:t>FR: VD_FINDINFO Décision / 2014 / 1035 du 20 novembre 2014</w:t>
      </w:r>
    </w:p>
    <w:p>
      <w:r>
        <w:t>IT: VD_FINDINFO Décision / 2014 / 1035 del 20 novembre 2014</w:t>
      </w:r>
    </w:p>
    <w:p>
      <w:pPr>
        <w:pStyle w:val="Heading2"/>
      </w:pPr>
      <w:r>
        <w:t>Regeste</w:t>
      </w:r>
    </w:p>
    <w:p>
      <w:r>
        <w:t>DIFFAMATION, PREUVE DE LA VÉRITÉ, CLASSEMENT DE LA PROCÉDURE | 173 ch. 2 CP,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l’ordonnance attaquée, dont on ignore la date à laquelle elle a été envoyée aux plaignants, a été reçue par ces derniers le 24 septembre 2014 selon l’allégué crédible des parties. Le délai de recours a donc commencé à courir le lendemain, soit le 25 septembre 2014, pour venir à échéance le samedi</w:t>
      </w:r>
    </w:p>
    <w:p>
      <w:r>
        <w:rPr>
          <w:b/>
        </w:rPr>
        <w:t>E. 4</w:t>
      </w:r>
    </w:p>
    <w:p>
      <w:r>
        <w:t>octobre 2014, terme reporté d’office au premier jour utile suivant, soit au 6 octobre 2014 (art. 90 al. 2 CPP). Déposé ce jour-là auprès de l’autorité compétente par les plaignants qui ont qualité pour recourir (cf. art. 382 al. 1 CPP) et interjeté de surcroît dans les formes prescrites (art. 385 al. 1 CPP), le recours est recevable. 2. 2.1 Aux termes de l'art. 319 al. 1 let. b CPP, le Ministère public ordonne le classement de tout ou partie de la procédure lorsque les éléments constitutifs d’une infraction ne sont pas réunis,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Bâle 2011, n. 9 ad art. 319 CPP). 2.2 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 2.1.1; ATF 132 IV 112 c. 2.1; ATF 128 IV 53 c. 1a).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c.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et les références citées; Corboz, Les infractions en droit suisse, 3 e éd., vol. I, Berne 2010, n. 42 ad art. 173 CP). Tant la diffamation que la calomnie sont des infractions intentionnelles (Corboz, op. cit., n. 48 ad art. 173 CP et n. 11 ad art. 174 CP), la seconde se distinguant de la première en ce sens qu'un élément subjectif supplémentaire doit être réalisé, à savoir que l'auteur sait – le dol éventuel n'étant pas suffisant – que le fait qu'il allègue est faux (Corboz, op. cit., n. 11 ad art. 174 CP; Favre/Pellet/Stoudmann, Code pénal annoté, 3 e éd., Lausanne 2007, n. 1.1 ad art. 174 CP). 2.3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 592). Le prévenu est de bonne foi s'il a cru à la véracité de ce qu'il disait (Corboz, op. cit., n. 77 ad art. 173 CP; ATF 124 IV 149 c. 3b). En outre, un devoir de prudence incombe à celui qui porte atteinte à l'honneur d'autrui. Il ne saurait s'avancer à la légère (ATF 124 IV 149 c. 3b). 2.4 En l’espèce, les allégations faites par B.L.________, soit le fait d’accuser les recourants d’avoir "kidnappé légalement" ses enfants en les emmenant à Bangkok et d’avoir mis en place à l’égard de ces derniers un "schéma d’aliénation parentale" (recours, p. 4; P. 7/3), propos que le prénommé admet avoir tenus (PV aud. 1), reviennent à prêter aux intimés un comportement à tout le moins moralement répréhensible et à porter ainsi atteinte à leur honneur, comme le Procureur l’a également retenu (ordonnance, p. 2). Ce dernier a cependant considéré que les termes utilisés par B.L.________ devaient être replacés dans leur contexte. Il a indiqué à cet égard qu’en raison des difficultés vécues dans le divorce, en particulier concernant l’exercice de son droit de visite, le prénommé souffrait de l’éloignement de ses enfants et était frustré par cette situation, de sorte que ses allégations ne reflétaient pas une intention de porter atteinte à l’honneur des plaignants, mais uniquement ce qu’il ressentait face à un état de fait qu’il avait du mal à accepter. Le Procureur a donc retenu que le prévenu, sans formation juridique et désemparé, pouvait, au vu de sa perception de la situation, bénéficier de la preuve libératoire de sa bonne foi de l’art. 173 ch. 2 CP, de sorte que l’élément subjectif de l’infraction d’atteinte à l’honneur faisait défaut. Cette interprétation ne saurait être suivie. Tout d’abord, aucun élément ne permet de retenir que B.L.________ avait des raisons sérieuses de tenir de bonne foi ses allégations pour vraies. En effet, le prénommé savait que ses enfants n’avaient ni disparu, ni été kidnappés. Le déménagement à Bangkok s’était fait en conformité avec les lois suisses et avec une autorisation judiciaire (P. 7/1), ce que l’intéressé savait (PV aud. 1, ligne 35). Quant aux explications de ce dernier selon lesquelles les enfants, de retour en Thaïlande après avoir passé une partie de leurs vacances d’été chez leur père, ne lui auraient donné aucune nouvelle pendant plusieurs jours ne sont pas pertinentes à cet égard. Cela ne constitue de toute manière pas une élément sérieux permettant à B.L.________ de dire que ses enfants auraient été "kidnappés légalement". Il a d’ailleurs lui-même admis avoir envoyé le courriel litigieux uniquement parce qu’il était "très fâché avec le système suisse" (PV aud. 1, ligne 33). Pour le reste, il n’avait aucun raison légitime de croire que les recourants avaient mis en place un "schéma d’aliénation parentale", d’autant moins si l’on considère qu’au moment de l’envoi de son courriel, le 4 août 2013, il venait de passer plus d’un mois avec ses enfants dans le cadre de l’exercice régulier de son droit de visite. Il semble donc que l’intimé, qui ne disposait d’aucun indice sérieux à l’appui de ses allégations, a tenu des propos et des accusations graves, d’emblée dénués de fondement. Par ailleurs, il devait se rendre compte, en adressant le courriel en question directement à l’employeur de B.________, que ses propos pourraient atteindre ce dernier de manière sérieuse ; le fait d’écrire à un employeur en accusant un employé de kidnapping et de mauvais traitement à l’égard d’enfants pourrait coûter son poste à celui-ci, d’autant plus dans le milieu diplomatique. Il s’ensuit que les conditions d’admission de la preuve libératoire de la bonne foi ne sont pas réalisées, l’intimé ne pouvant, pour les raisons qui viennent d’être évoquées, se prévaloir de sa bonne foi. Au vu des circonstances décrites ci-avant, il n’y a pas davantage de motif d’écarter par avance, à ce stade, la calomnie. Il y aura donc lieu de prononcer la mise en accusation de B.L.________ du chef de calomnie, subsidiairement diffamation. 3. 3.1 Il résulte de ce qui précède que le recours doit être admis et l'ordonnance annulée. Le dossier de la cause sera renvoyé au Procureur pour qu’il procède dans le sens des considérants. 3.2 Les recourants obtenant gain de cause et l’intimé ne s’étant pas déterminé sur le recours, les frais de la procédure de recours, composés de l'émolument d'arrêt, par 880 fr. (art. 20 al. 1 TFIP [Tarif des frais de procédure et indemnités en matière pénale du 28 septembre 2010, RSV 312.03.1]), seront laissés à la charge de l'Etat (art. 428 al. 1 CPP). 3.3 S’agissant des dépens réclamés par les recourants, il appartiendra le cas échéant à ces derniers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prononce : I. Le recours est admis. II. L’ordonnance du 18 septembre 2014 est annulée. III. Le dossier de la cause est renvoyé au Ministère public de l’arrondissement de La Côte pour qu’il procède dans le sens des considérants. IV. Les frais d’arrêt, par 880 fr. (huit cent huitante francs), sont laissés à la charge de l’Etat. V. Le présent arrêt est exécutoire. Le président :               Le greffier : Du L'arrêt qui précède, dont la rédaction a été approuvée à huis clos, est notifié, par l'envoi d'une copie complète, à : - Mme Mireille Loroch, avocate (pour B.________ et C.L.________), - M. B.L.________,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