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1032 vom 14. November 2014</w:t>
      </w:r>
    </w:p>
    <w:p>
      <w:r>
        <w:t>VD Tribunal cantonal, 2014-11-14, FR</w:t>
      </w:r>
    </w:p>
    <w:p>
      <w:r>
        <w:rPr>
          <w:b/>
        </w:rPr>
        <w:t xml:space="preserve">Quelle: </w:t>
      </w:r>
      <w:r>
        <w:t>https://mcp.opencaselaw.ch/entscheid/vd_findinfo_D_cision___2014___1032</w:t>
      </w:r>
    </w:p>
    <w:p>
      <w:r>
        <w:t>FR: VD_FINDINFO Décision / 2014 / 1032 du 14 novembre 2014</w:t>
      </w:r>
    </w:p>
    <w:p>
      <w:r>
        <w:t>IT: VD_FINDINFO Décision / 2014 / 1032 del 14 novembre 2014</w:t>
      </w:r>
    </w:p>
    <w:p>
      <w:pPr>
        <w:pStyle w:val="Heading2"/>
      </w:pPr>
      <w:r>
        <w:t>Regeste</w:t>
      </w:r>
    </w:p>
    <w:p>
      <w:r>
        <w:t>NON-LIEU, SOUPÇON, ACCÈS INDU À UN SYSTÈME INFORMATIQUE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notifiée au plaignant le 15 septembre 2014 (PV des opérations, p. 3) et reçue par ce dernier le 20 septembre 2014 selon l'allégué crédible de la partie. Déposé le 29 septembre 2014 auprès de l’autorité compétente, par le plaignant qui a qualité pour recourir (cf. art. 382 al. 1 CPP) et interjeté de surcroît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2.2</w:t>
      </w:r>
    </w:p>
    <w:p>
      <w:r>
        <w:t>En l'espèce, selon le rapport de police du 21 août 2014, établi par un spécialiste informatique de la Division criminalité informatique de la Police de sûreté (P. 8/1), le fait que le nom d'un autre appareil soit visible sur le téléphone portable d'A.________, comme celui-ci l'a indiqué dans sa plainte du 12 mars 2014, est lié à l'activation, par le prénommé, du mode "bluetooth" sur son propre appareil, ce qui permet de simplifier les connexions entre les téléphones portables des utilisateurs se trouvant dans un environnement proche. Il résulte des recherches effectuées par la police que la personne dont le nom serait apparu sur le téléphone portable du plaignant est un étudiant de la faculté de [...] de l’Université de [...], que fréquente aussi le recourant. Or, dans la mesure où, selon le rapport de police, ce type de connexion nécessite un accord de l'utilisateur de l'appareil, il n'y a pas d'accès indu, le plaignant n'ayant d'ailleurs fourni aucun autre élément d'information à l'appui de ses soupçons d'intrusions illicites. Quant aux adresses IP mentionnées par A.________, elles appartiennent, selon ce rapport, à l’intervalle des adresses IP de l’Université de [...] (P. 8/1). Or, comme cela résulte de l’arrêt de la Cour de céans du 24 septembre 2014 (n° 694) concernant des faits similaires dénoncés par le recourant dans ses précédentes plaintes, le fait que le programme utilisé par ce dernier rende visibles les adresses d’autres machines connectées au même moment n’a, selon l’Université, rien d’anormal, puisque cela est lié à la technique informatique. Ces explications sont suffisamment convaincantes et valent, mutatis mutandis , pour les prétendues nouvelles intrusions dont se plaint l’intéressé. Enfin, l’argument lié à la détection d’"intrus" par le programme utilisé par le recourant a déjà été traité dans l’arrêt précité de la Cour de céans (c. 2.2). Le recourant ne soulève pas d’éléments nouveaux et les motifs exposés par la cour dans son précédent arrêt restent pertinents. Par conséquent, il n'y a, en définitive, aucun élément en faveur de l'existence d'une infraction. C’est donc à juste titre que le Procureur a décidé de ne pas entrer en matière sur la plainte d’A.________.</w:t>
      </w:r>
    </w:p>
    <w:p>
      <w:r>
        <w:rPr>
          <w:b/>
        </w:rPr>
        <w:t>E. 3</w:t>
      </w:r>
    </w:p>
    <w:p>
      <w:r>
        <w:t>ll résulte de ce qui précède que le recours doit être rejeté et l’ordonnance du 9 septembre 2014 confirmée. Les frais de la procédure de recours, constitués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9 septembre 2014 est confirmée. III. Les frais de la procédure de recours, par 550 fr. (cinq cent cinquante francs), sont mis à la charge d’A.________. IV. Le présent arrêt est exécutoire. Le président :               Le greffier : Du L'arrêt qui précède, dont la rédaction a été approuvée à huis clos, est notifié, par l'envoi d'une copie complète, à : - M.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