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1025 vom 7. Oktober 2014</w:t>
      </w:r>
    </w:p>
    <w:p>
      <w:r>
        <w:t>VD Tribunal cantonal, 2014-10-07, FR</w:t>
      </w:r>
    </w:p>
    <w:p>
      <w:r>
        <w:rPr>
          <w:b/>
        </w:rPr>
        <w:t xml:space="preserve">Quelle: </w:t>
      </w:r>
      <w:r>
        <w:t>https://mcp.opencaselaw.ch/entscheid/vd_findinfo_D_cision___2014___1025</w:t>
      </w:r>
    </w:p>
    <w:p>
      <w:r>
        <w:t>FR: VD_FINDINFO Décision / 2014 / 1025 du 7 octobre 2014</w:t>
      </w:r>
    </w:p>
    <w:p>
      <w:r>
        <w:t>IT: VD_FINDINFO Décision / 2014 / 1025 del 7 ottobre 2014</w:t>
      </w:r>
    </w:p>
    <w:p>
      <w:pPr>
        <w:pStyle w:val="Heading2"/>
      </w:pPr>
      <w:r>
        <w:t>Regeste</w:t>
      </w:r>
    </w:p>
    <w:p>
      <w:r>
        <w:t>ESCROQUERIE, ABUS DE CONFIANCE, APPROPRIATION ILLÉGITIME, NON-LIEU | 137 CP, 138 CP, 146 CP,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3</w:t>
      </w:r>
    </w:p>
    <w:p>
      <w:r>
        <w:t>La recourante soutient que le Ministère public ne pouvait plus rendre une ordonnance de non-entrée en matière dès lors qu'il avait requis la production de pièces. En l'espèce, le Ministère public a reçu la plainte pénale le 8 mai 2014. Le lendemain, il a requis la production de pièces, soit les justificatifs de paiement en faveur d’Y.________ (P. 7), et il a rendu une ordonnance de non-entrée en matière le 6 juin 2014. Aucune ordonnance d'ouverture d'instruction au sens de l'art. 309 al. 3 CPP n'a été rendue. Le Tribunal fédéral a considéré qu'une ordonnance de non-entrée en matière pouvait encore être rendue après l'ouverture d'une enquête préliminaire par la police, l'audition des mis en cause et la production de pièces à la demande du Ministère public (TF 1B_111/2012 du 5 avril 2012 c. 2.1 et 2.2). Force est donc de constater qu'une ordonnance de non-entrée en matière pouvait encore être rendue dans le cas d'espèce.</w:t>
      </w:r>
    </w:p>
    <w:p>
      <w:r>
        <w:rPr>
          <w:b/>
        </w:rPr>
        <w:t>E. 4.1</w:t>
      </w:r>
    </w:p>
    <w:p>
      <w:r>
        <w:t>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L'astuce est en particulier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 ATF 128 IV 18 c. 3a ; ATF 122 IV 246 c. 3a et les arrêts cités). L'astuce n'est toutefois pas réalisée si la dupe pouvait se protéger avec un minimum d'attention ou éviter l'erreur avec le minimum de prudence que l'on pouvait attendre d'elle (TF 6B_314/2011 du 27 octobre 2011 c. 3.2.1). Il n’est pas nécessaire, pour qu’il y ait escroquerie, que la dupe ait fait preuve de la plus grande diligence et qu’elle ait recouru à toutes les mesures de prudence possibles. L'astuce n'est exclue que si la dupe n'a pas procédé aux vérifications élémentaires que l'on pouvait attendre d'elle au vu des circonstances (ATF 128 IV 18 c. 3a). Il est ainsi déterminant de savoir si la tromperie paraît imperceptible ou difficilement perceptible en tenant compte des possibilités d’autoprotection de la dupe dont l’auteur a connaissance (ATF 135 IV 76 c. 5.2). Il faut qu’on puisse admettre que, même en faisant preuve d’esprit critique, la dupe se serait laisser tromper (ATF 119 IV 28 c. 3c). Pour apprécier si l'auteur a usé d'astuce et si la dupe a omis de prendre des mesures de prudence élémentaires, il ne suffit pas de se demander comment une personne raisonnable et expérimentée aurait réagi à la tromperie ;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120 IV 186 c. 1a). La jurisprudence admet dès lors l'astuce dans le cas où la dupe n'a pas la possibilité de vérifier les affirmations transmises ou si leur vérification se révèle très difficile, notamment lorsque la tromperie porte sur des faits internes, comme par exemple la volonté d'exécuter un contrat (ATF 125 IV 124 c. 3a). Sur le plan subjectif, l'escroquerie suppose une intention et un dessein d'enrichissement illégitime pour soi-même ou pour un tiers (Dupuis et alii, Petit commentaire du Code pénal, Bâle 2012, n. 1 ad. art. 146 CP).</w:t>
      </w:r>
    </w:p>
    <w:p>
      <w:r>
        <w:rPr>
          <w:b/>
        </w:rPr>
        <w:t>E. 4.2</w:t>
      </w:r>
    </w:p>
    <w:p>
      <w:r>
        <w:t>En l'espèce, comme la recourante l’explique, il est exact qu’il faut se placer au moment de l’envoi du contrat du 25 (recte : 24) septembre 2013 entre elle et la société Y.________ pour analyser ce qui l’a déterminée à effectuer les virements des 2 et 11 octobre 2013 en faveur de celle-ci, et non au moment de la signature du contrat avec la société J.________. Toutefois, la recourante n’a jamais conclu de contrat avec la société chinoise. Seule une ébauche de contrat lui a été adressée le 24 septembre 2013. Elle a d’ailleurs elle-même qualifié ce document de projet de contrat dans son bordereau de pièces (cf. P. 5). Ainsi, la recourante ne pouvait se voir rassurer par un simple projet de contrat, non signé, et ce malgré l’urgence de la situation. De plus, les échanges de courriels qu’elle a eus avec D.________ et N.________ sont en langue russe. Il ne fait pas de doute que la recourante en aurait produit des traductions s’ils étaient décisifs. Partant, les éléments constitutifs de l’infraction d’escroquerie, en particulier une tromperie astucieuse, ne sont manifestement pas réalisés en l’espèce.</w:t>
      </w:r>
    </w:p>
    <w:p>
      <w:r>
        <w:rPr>
          <w:b/>
        </w:rPr>
        <w:t>E. 5.1</w:t>
      </w:r>
    </w:p>
    <w:p>
      <w:r>
        <w:t>Aux termes de l’art. 137 CP, se rend coupable d’appropriation illégitime celui qui, pour se procurer ou procurer à un tiers un enrichissement illégitime, se sera approprié une chose mobilière appartenant à autrui, en tant que les conditions prévues aux art. 138 à 140 CP ne seront pas réalisées (ch. 1); si l'auteur a, notamment, agi sans dessein d'enrichissement, l'infraction ne sera poursuivie que sur plainte (ch. 2). En vertu de l’art. 138 ch. 1 CP,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Ces infractions supposent notamment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133 IV 21 c. 6.2 ; ATF 120 IV 276 c. 2). L’art. 138 ch. 1 al. 2 CP suppose également l’existence de valeurs patrimoniales confiées. Dans le contexte des infractions contre le patrimoine, le notion de valeurs patrimoniales renvoie à tout élément du patrimoine qui ne constitue pas une chose mobilière appartenant à autrui (Dupuis et alii, Petit commentaire du Code pénal, Bâle 2012, n. 19 ad. rem. prél. aux art. 137 ss CP). Du point de vue subjectif, l'auteur doit avoir agi intentionnellement et dans un dessein d'enrichissement illégitime.</w:t>
      </w:r>
    </w:p>
    <w:p>
      <w:r>
        <w:rPr>
          <w:b/>
        </w:rPr>
        <w:t>E. 5.2</w:t>
      </w:r>
    </w:p>
    <w:p>
      <w:r>
        <w:t>En l’espèce, à l’instar du Ministère public, on ne voit pas quelles choses mobilières ou valeurs patrimoniales appartenant à la recourante auraient été confiées à D.________ et N.________ ou encore moins qu’ils se seraient appropriées. Il s’agit au contraire d’une vente de matériel informatique lors de laquelle la recourante, acheteuse, a payé le prix sur la base d’un projet de contrat avant d’avoir reçu la marchandise. Seule une partie de la marchandise, ne correspondant apparemment pas à la qualité ni à la quantité promises, a ensuite été livrée. On est dès lors en présence d’un cas classique de mauvaise exécution d’un contrat de vente. Ainsi, les éléments constitutifs des infractions d’appropriation illégitime et abus de confiance ne sont pas réalisés et c’est à juste titre que le Ministère public a rendu une ordonnance de non-entrée en matière.</w:t>
      </w:r>
    </w:p>
    <w:p>
      <w:r>
        <w:rPr>
          <w:b/>
        </w:rPr>
        <w:t>E. 6</w:t>
      </w:r>
    </w:p>
    <w:p>
      <w:r>
        <w:t>La recourante se prévaut enfin d’une constatation incomplète ou erronée des faits. En l’espèce, l’état de fait a été complété pour tenir compte des éléments soulevés par la recourante, qui ne changent toutefois rien à l’appréciation juridique faite ci-dessus.</w:t>
      </w:r>
    </w:p>
    <w:p>
      <w:r>
        <w:rPr>
          <w:b/>
        </w:rPr>
        <w:t>E. 7</w:t>
      </w:r>
    </w:p>
    <w:p>
      <w:r>
        <w:t>En définitive, le recours, manifestement mal fondé, doit être rejeté sans autres échanges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RSV 312.03.1]) , seront mis à la charge de la recourante qui succombe (art. 428 al. 1 CPP). Par ces motifs, la Chambre des recours pénale prononce : I. Le recours est rejeté. II. L’ordonnance du 6 juin 2014 est confirmée. III. Les frais de la procédure de recours, par 990 fr. (neuf cent nonante francs), sont mis à la charge de U.________SA. IV. Le présent arrêt est exécutoire. Le président :               La greffière : Du L'arrêt qui précède, dont la rédaction a été approuvée à huis clos, est notifié, par l'envoi d'une copie complète, à : - M. Laurent Maire, avocat (pour U.________SA),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