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1022 vom 19. August 2014</w:t>
      </w:r>
    </w:p>
    <w:p>
      <w:r>
        <w:t>VD Tribunal cantonal, 2014-08-19, FR</w:t>
      </w:r>
    </w:p>
    <w:p>
      <w:r>
        <w:rPr>
          <w:b/>
        </w:rPr>
        <w:t xml:space="preserve">Quelle: </w:t>
      </w:r>
      <w:r>
        <w:t>https://mcp.opencaselaw.ch/entscheid/vd_findinfo_D_cision___2014___1022</w:t>
      </w:r>
    </w:p>
    <w:p>
      <w:r>
        <w:t>FR: VD_FINDINFO Décision / 2014 / 1022 du 19 août 2014</w:t>
      </w:r>
    </w:p>
    <w:p>
      <w:r>
        <w:t>IT: VD_FINDINFO Décision / 2014 / 1022 del 19 agosto 2014</w:t>
      </w:r>
    </w:p>
    <w:p>
      <w:pPr>
        <w:pStyle w:val="Heading2"/>
      </w:pPr>
      <w:r>
        <w:t>Regeste</w:t>
      </w:r>
    </w:p>
    <w:p>
      <w:r>
        <w:t>CLASSEMENT DE LA PROCÉDURE, ESCROQUERIE, ASTUCE | 146 CP, 310 CPP (CH), 393 al. 1 let. a CPP (CH)</w:t>
      </w:r>
    </w:p>
    <w:p>
      <w:pPr>
        <w:pStyle w:val="Heading2"/>
      </w:pPr>
      <w:r>
        <w:t>Erwägungen</w:t>
      </w:r>
    </w:p>
    <w:p>
      <w:r>
        <w:rPr>
          <w:b/>
        </w:rPr>
        <w:t>E. 1</w:t>
      </w:r>
    </w:p>
    <w:p>
      <w:r>
        <w:t>Une ordonnance de non-entrée en matière (art. 310 CPP [Code de procédure pénale suisse du 5 octobre 2007; RS 312.0]) rendue par le Ministère public peut faire l'objet d'un recours auprès de la Chambre des recours pénale du Tribunal cantonal. Le recours doit être adressé par écrit, dans un délai de dix jours dès la notification de la décision attaquée (cf. art. 384 let. b CPP), à l’autorité de recours (art. 322 al. 2 CPP, par renvoi de l'art. 310 al. 2 CPP, et art. 396 al. 1 CPP). Interjeté dans le délai légal et dans les formes prescrites, par la partie plaignante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 2.1; Cornu, in: Kuhn/Jeanneret [éd.], op. cit.,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Des motifs de fait peuvent également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Dans de tels cas, le procureur doit examiner si une enquête, sous une forme ou sous une autre, serait en mesure d’apporter des éléments susceptibles de renforcer les charges contre la personne visée ou d’établir l’identité de l’auteur de l’infraction; ce n’est que si aucun acte d’enquête raisonnable ne paraît pouvoir amener des éléments utiles qu’il peut rendre une ordonnance de non-entrée en matière (Cornu, op. cit., n. 9 ad art. 310 CPP; TF 1B_67/2012 du 29 mai 2012 c. 3.2; CREP 23 novembre 2011/517 c. 2a). En cas de doute sur la possibilité d’apporter ultérieurement la preuve des faits en question, la non-entrée en matière est exclue (Cornu, op. cit., n. 9 ad art. 310 CPP; Nathan Landshut, in : Donatsch/Hansjakob/ Lieber [éd.], Kommentar zur Schweizerischen Strafprozessordnung, 2010, n. 5 ad art. 310 CPP; Message du Conseil fédéral relatif à l’unification du droit de la procédure pénale du 21 décembre 2005, FF 2006 pp. 1057 ss, spéc. 1248; CREP 23 novembre 2011/517 c. 2a).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3.1</w:t>
      </w:r>
    </w:p>
    <w:p>
      <w:r>
        <w:t>Selon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suppose en particulier que l'auteur ait usé de tromperie et que celle-ci ait été astucieuse (ATF 128 IV 18 c. 3a; ATF 122 II 422 c. 3a;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 3a; ATF 126 IV 165 c. 2a). U n édifice de mensonges, pour être astucieux, ne résulte ainsi pas nécessairement de l'accumulation de plusieurs mensonges. Il n'est bien plutôt réalisé que si les mensonges sont l'expression d'une rouerie particulière et se recoupent de manière si subtile que même une victime faisant preuve d'esprit critique se laisse tromper (ATF 119 IV 28 c. 3c; Dupuis et alii, op. cit., n. 12 ad art. 146 CP).</w:t>
      </w:r>
    </w:p>
    <w:p>
      <w:r>
        <w:rPr>
          <w:b/>
        </w:rPr>
        <w:t>E. 3.2</w:t>
      </w:r>
    </w:p>
    <w:p>
      <w:r>
        <w:t>En l’espèce, on doit admettre avec le procureur que les éléments constitutifs de l’escroquerie ne sont pas réalisés, pas même sous la forme de la tentative. Certes, R.________ a tardé à fournir les documents idoines et son attitude générale dans le cas particulier est hautement critiquable. Toutefois, on ne saurait retenir que la ou les personnes ayant pris la décision de ne pas payer les indemnités journalières à la recourante ai(en)t agi avec une rouerie particulière, soit en adoptant un comportement suffisamment caractérisé pour constituer une astuce au sens de l’art. 146 CP. En effet, les pièces produites au dossier démontrent certes la mauvaise foi de la part de R.________ et la mauvaise coordination entre les différents services de cette compagnie d’assurance, sinon l’incompétence de ses employés, mais non un édifice astucieux de mensonges. Dans le cas contraire, on ne voit pas pourquoi la compagnie d’assurance aurait, le 8 mars 2013 déjà, remis à la recourante des documents susceptibles d’établir que la couverture d’assurance n’avait pris fin que le 1 er novembre 2011 (P. 7/11). En effet, les personnes concernées au sein de R.________ n’auraient pas remis de tels documents si elles avaient voulu édifier un stratagème dans le but de tromper la recourante, étant précisé que l’escroquerie est une infraction intentionnelle (cf. Dupuis et alii, Petit commentaire, Code pénal, Bâle 2012, 33 ad art. 146 CP et les réf. cit. ). Dans ces circonstances, toute intention dolosive peut manifestement être exclue, de sorte que l’élément subjectif de l’infraction fait également défaut.</w:t>
      </w:r>
    </w:p>
    <w:p>
      <w:r>
        <w:rPr>
          <w:b/>
        </w:rPr>
        <w:t>E. 3.3</w:t>
      </w:r>
    </w:p>
    <w:p>
      <w:r>
        <w:t>Au vu de ce qui précède, les éléments constitutifs d’une infraction pénale ne sont manifestement pas réunis. Aucune mesure d’instruction complémentaire ne permettrait d’aboutir à une appréciation différente. C’est donc à bon droit que le procureur a refusé d’entrer en matière sur la plainte pénale d’E.________.</w:t>
      </w:r>
    </w:p>
    <w:p>
      <w:r>
        <w:rPr>
          <w:b/>
        </w:rPr>
        <w:t>E. 3.4</w:t>
      </w:r>
    </w:p>
    <w:p>
      <w:r>
        <w:t>En définitive, le recours doit être rejeté et l’ordonnance attaquée confirmée. Les frais de la procédure de recours, constitués du seul émolument d’arrêt, par 770 fr. (art. 20 al. 1 TFIP [Tarif des frais de procédure et indemnités en matière pénale du 28 septembre 2010, RSV 312.03.1]), seront mis à la charge de la recourante, qui succombe (art. 428 al. 1 CPP). Vu l’issue du recours, il n’est pas alloué d’indemnité pour la procédure de recours (art. 433 al. 1 CPP a contrario). Par ces motifs, la Chambre des recours pénale prononce : I. Le recours est rejeté. II. L’ordonnance du 18 juillet 2014 est confirmée. III. Les frais d’arrêt, par 770 fr. (sept cent septante francs), sont mis à la charge d’E.________. IV. Il n’est pas alloué d’indemnité pour la procédure de recours. V. Le présent arrêt est exécutoire. Le président :               La greffière : Du L'arrêt qui précède, dont la rédaction a été approuvée à huis clos, est notifié, par l'envoi d'une copie complète, à : - M. Hervé Bovet, avocat (pour E.________),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