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1018 vom 6. November 2014</w:t>
      </w:r>
    </w:p>
    <w:p>
      <w:r>
        <w:t>VD Tribunal cantonal, 2014-11-06, FR</w:t>
      </w:r>
    </w:p>
    <w:p>
      <w:r>
        <w:rPr>
          <w:b/>
        </w:rPr>
        <w:t xml:space="preserve">Quelle: </w:t>
      </w:r>
      <w:r>
        <w:t>https://mcp.opencaselaw.ch/entscheid/vd_findinfo_D_cision___2014___1018</w:t>
      </w:r>
    </w:p>
    <w:p>
      <w:r>
        <w:t>FR: VD_FINDINFO Décision / 2014 / 1018 du 6 novembre 2014</w:t>
      </w:r>
    </w:p>
    <w:p>
      <w:r>
        <w:t>IT: VD_FINDINFO Décision / 2014 / 1018 del 6 novembre 2014</w:t>
      </w:r>
    </w:p>
    <w:p>
      <w:pPr>
        <w:pStyle w:val="Heading2"/>
      </w:pPr>
      <w:r>
        <w:t>Regeste</w:t>
      </w:r>
    </w:p>
    <w:p>
      <w:r>
        <w:t>SÉQUESTRE{MESURE PROVISIONNELLE}, CONCURRENCE DÉLOYALE, VALEUR PATRIMONIALE, MOYEN DE PREUVE, PROPORTIONNALITÉ | 69 CP, 70 CP, 3 LCD, 263 CPP (CH)</w:t>
      </w:r>
    </w:p>
    <w:p>
      <w:pPr>
        <w:pStyle w:val="Heading2"/>
      </w:pPr>
      <w:r>
        <w:t>Erwägungen</w:t>
      </w:r>
    </w:p>
    <w:p>
      <w:r>
        <w:rPr>
          <w:b/>
        </w:rPr>
        <w:t>E. 1</w:t>
      </w:r>
    </w:p>
    <w:p>
      <w:r>
        <w:t>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le recours de D.________ SA et d’Y.________ AG est recevable, dans la mesure où la qualité pour recourir peut leur être reconnue, l’une étant la destinataire du colis saisi et l’autre se disant propriétaire de son contenu (P. 6).</w:t>
      </w:r>
    </w:p>
    <w:p>
      <w:r>
        <w:rPr>
          <w:b/>
        </w:rPr>
        <w:t>E. 2</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L'art. 263 al. 1 CPP autorise entre autres le séquestre d’objets et de valeurs patrimoniales appartenant au prévenu ou à des tiers, lorsqu'il est probable qu’ils seront utilisés comme moyens de preuves (let. a), qu’ils devront être restitués au lésé (let. c) ou qu'ils devront être confisqués (let. d). Comme cela ressort du texte de l’art. 263 al. 1 CPP, le séquestre est une mesure fondée sur la vraisemblance; elle porte sur des objets dont on peut admettre, prima facie , qu'ils pourront notamment être confisqués en application du droit pénal fédéral.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139 IV 250 c. 2.1 ; TF 1B_127/2013 du 1 er mai 2013 c. 2 ; CREP 13 août 2014/551).</w:t>
      </w:r>
    </w:p>
    <w:p>
      <w:r>
        <w:rPr>
          <w:b/>
        </w:rPr>
        <w:t>E. 3</w:t>
      </w:r>
    </w:p>
    <w:p>
      <w:r>
        <w:t>Dans un grief d’ordre formel, les recourantes soutiennent que l’ordonnance attaquée ne serait pas suffisamment motivée.</w:t>
      </w:r>
    </w:p>
    <w:p>
      <w:r>
        <w:rPr>
          <w:b/>
        </w:rPr>
        <w:t>E. 3.1</w:t>
      </w:r>
    </w:p>
    <w:p>
      <w:r>
        <w:t>L’ordonnance de séquestre doit comporter une motivation suffisante pour respecter le droit d’être entendu des personnes dont les actifs sont mis sous main de justice et pour permettre à l’autorité de recours d’exercer son contrôle. La seule référence à la norme légale est insuffisante sous l'angle des exigences de motivation de la décision (TF 1A.95/2002 du 16 juillet 2002 c. 3.3; CREP 25 février 2013/110; CREP 21 novembre 2012/725 ; CREP 23 décembre 2013/797).</w:t>
      </w:r>
    </w:p>
    <w:p>
      <w:r>
        <w:rPr>
          <w:b/>
        </w:rPr>
        <w:t>E. 3.2</w:t>
      </w:r>
    </w:p>
    <w:p>
      <w:r>
        <w:t>Dans le cas d’espèce, contrairement à ce que soutiennent les recourantes, le procureur a clairement indiqué les motifs de son ordonnance. Il a considéré, après avoir décrit sur deux pages les faits reprochés aux prévenus, que les publipostages contenus dans le colis saisi étaient contraires à la LCD, en particulier à son art. 3 al. 1 let. b, h et i et que le contenu de ce colis devait dès lors être séquestré en application des art. 69 al. 1 CP (Code pénal suisse du 21 décembre 1937 ; RS 311.0) et 263 al. 1 let. d CPP, qu’il a cités in extenso. Cette ordonnance apparaît par conséquent suffisamment motivée au regard des exigences posées par la jurisprudence.</w:t>
      </w:r>
    </w:p>
    <w:p>
      <w:r>
        <w:rPr>
          <w:b/>
        </w:rPr>
        <w:t>E. 4.1</w:t>
      </w:r>
    </w:p>
    <w:p>
      <w:r>
        <w:t>Les recourantes contestent le bien-fondé de la mesure de séquestre. Elles affirment que le colis saisi serait la propriété d’Y.________ AG et soutiennent qu’il n’y aurait aucune infraction pénale. Elles ajoutent en substance que le droit suisse ne serait pas applicable, que A.________ et Y.________ AG n’auraient aucune activité en Suisse et que la seule saisie de bons de commande par D.________ SA serait légale. Enfin, la mesure de séquestre serait disproportionnée et susceptible de leur causer un dommage irréparable, dès lors qu’elle les exposerait aux poursuites de clients dont les commandes ne pourraient pas être honorées.</w:t>
      </w:r>
    </w:p>
    <w:p>
      <w:r>
        <w:rPr>
          <w:b/>
        </w:rPr>
        <w:t>E. 4.2</w:t>
      </w:r>
    </w:p>
    <w:p>
      <w:r>
        <w:t>L’ordonnance attaquée se fonde en l’occurrence sur le séquestre de type conservatoire. Ce type de séquestre prévu à l’art. 263 al. 1 let. d CPP a pour but de préparer la confiscation d’objets dangereux au sens de l’art. 69 CP ou de valeurs patrimoniales au sens de l’art. 70 CP (Moreillon/Parein-Reymond, op. cit., n. 19 ad art. 263 CPP). Les biens sont saisis en raison du danger qu'ils présentent pour la sécurité des personnes, la morale ou l'ordre public (art. 69 CP), de leur origine ou de leur utilisation criminelle (art. 70 et 72 CP), pour autant que l'on puisse admettre, prima facie , qu'ils pourront être confisqués en application du droit fédéral (Lembo/Julen Berthod, in : Kuhn/Jeanneret [éd.], Commentaire romand, Code de procédure pénale suisse, Bâle 2011, n. 7 ad art. 263 CPP).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 4.4).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Cette mesure tend à empêcher l’auteur de profiter du produit de l’infraction. Il convient d’ôter toute rentabilité à l’infraction, afin que le crime ne paie pas (Dupuis et alii [éd.], Petit commentaire, Code pénal, Bâle 2012, n. 1 ad art. 70 CP).</w:t>
      </w:r>
    </w:p>
    <w:p>
      <w:r>
        <w:rPr>
          <w:b/>
        </w:rPr>
        <w:t>E. 4.3</w:t>
      </w:r>
    </w:p>
    <w:p>
      <w:r>
        <w:t>En l’espèce, le séquestre porte sur un colis contenant plus d’un millier de plis répondant au courrier prétendument écrit et adressé par A.________. Ce courrier promet à son destinataire des gains mirobolants moyennant le versement d’une somme d’argent. Il lui prédit en outre l’imminence d’un grand danger. L’instruction a révélé que A.________ n’était en réalité pas une personne physique mais une marque appartenant à une société. On relèvera enfin que le colis saisi a été adressé à l’intention de D.________ SA domiciliée à [...]. A ce stade, ces éléments sont suffisants pour fonder l’existence de soupçon d’infraction à la LCD sur territoire helvétique. Le fait que le Tribunal fédéral ait annulé une précédente condamnation d’E.________ dans une affaire similaire n’est pas pertinent dans la mesure où la Haute cour a uniquement conclu que l’état de fait était insuffisant pour fonder une condamnation sans toutefois l’exclure. En revanche, le colis et les enveloppes qu’il contient ne peuvent pas être qualifiés d’objets dangereux au sens de l’art. 69 CP. La mesure envisagée apparaît davantage justifiée à titre de séquestre probatoire au sens de l’art. 263 al. 1 let. a CPP s’agissant des courriers. S’agissant des chèques et des espèces contenus dans les enveloppes, le séquestre en vue d’une restitution au lésé au sens de l’art. 263 al. 1 let. c CPP (réglée d’un point de vue matériel à l’art. 70 al. 1 in fine CP [Moreillon/Parein-Reymond, op. cit., n. 16 ad art. 263 CPP]) voire en vue d’une confiscation au sens de l’art. 263 al. 1 let. d CPP (en lien avec l’art. 70 CP), est applicable dans la mesure où il s’agit de valeurs patrimoniales.</w:t>
      </w:r>
    </w:p>
    <w:p>
      <w:r>
        <w:rPr>
          <w:b/>
        </w:rPr>
        <w:t>E. 4.4.1</w:t>
      </w:r>
    </w:p>
    <w:p>
      <w:r>
        <w:t>Reste à déterminer si la mesure attaquée est conforme au principe de la proportionnalité. A ce titre,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(Bommer/Goldschmid, in: Niggli/Heer/Wiprächtiger (éd.), Basler Kommentar, Schweizerische Strafprozessordnung, Jugendstrafprozessordnung, Bâle 2011, n. 23 ad art. 263 CPP ; CREP 13 septembre 2013/589 ; CREP 22 août 2014/600 ; CREP 18 octobre 2013/647).</w:t>
      </w:r>
    </w:p>
    <w:p>
      <w:r>
        <w:rPr>
          <w:b/>
        </w:rPr>
        <w:t>E. 4.4.2</w:t>
      </w:r>
    </w:p>
    <w:p>
      <w:r>
        <w:t>En l’espèce, le dommage invoqué par les recourantes lié aux commandes qui ne pourraient pas être honorées ne constitue pas un dommage irréparable. En effet, celui-ci peut être, le cas échéant, réparé par une indemnité au sens de l’art. 434 CPP. Cela étant, à ce stade de la procédure préliminaire, une mesure moins sévère que le séquestre n’apparaît pas suffisante. Cette mesure est en outre justifiée au regard des infractions reprochées aux prévenus. Partant, elle apparaît conforme au principe de la proportionnalité.</w:t>
      </w:r>
    </w:p>
    <w:p>
      <w:r>
        <w:rPr>
          <w:b/>
        </w:rPr>
        <w:t>E. 4.5</w:t>
      </w:r>
    </w:p>
    <w:p>
      <w:r>
        <w:t>Il résulte de ce qui précède que c’est à bon droit que le procureur a séquestré le colis saisi le 4 septembre 2014 par la Police cantonale.</w:t>
      </w:r>
    </w:p>
    <w:p>
      <w:r>
        <w:rPr>
          <w:b/>
        </w:rPr>
        <w:t>E. 5</w:t>
      </w:r>
    </w:p>
    <w:p>
      <w:r>
        <w:t>En définitive, le recours déposé par D.________ SA et Y.________ AG doit être rejeté sans autres échanges d’écritures (art. 390 al. 2 CPP) et l’ordonnance de séquestre confirmée. Vu l’issue de la procédure de recours, les frais de la procédure de recours, constitués en l’espèce de l'émolument d'arrêt (art. 422 al. 1 CPP), par 990 fr. (art. 20 al. 1 TFIP [tarif des frais de procédure et indemnités en matière pénale du 28 septembre 2010; RSV 312.03.1]), doivent être mis à la charge de D.________ SA et d’Y.________ AG qui succombent (art. 428 al. 1 CPP), à parts égales, soit 495 fr. chacune, et solidairement entre elles (art. 418 al. 1 et 2 CPP). Par ces motifs, la Chambre des recours pénale prononce : I. Le recours est rejeté. II. L’ordonnance du 17 octobre 2014 est confirmée. III. Les frais d’arrêt, par 990 fr. (neuf cent nonante francs), sont mis à la charge de D.________ SA et d’Y.________ AG, à parts égales, soit 495 fr. (quatre cent nonante-cinq francs) chacune, et solidairement entre elles. IV. Le présent arrêt est exécutoire. Le président :               La greffière : Du L'arrêt qui précède, dont la rédaction a été approuvée à huis clos, est notifié, par l'envoi d'une copie complète, à : - M. Albert J. Graf, avocat (pour D.________ SA et Y.________ AG), - Ministère public central, et communiqué à : ‑ Mme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