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1016 vom 21. November 2014</w:t>
      </w:r>
    </w:p>
    <w:p>
      <w:r>
        <w:t>VD Tribunal cantonal, 2014-11-21, FR</w:t>
      </w:r>
    </w:p>
    <w:p>
      <w:r>
        <w:rPr>
          <w:b/>
        </w:rPr>
        <w:t xml:space="preserve">Quelle: </w:t>
      </w:r>
      <w:r>
        <w:t>https://mcp.opencaselaw.ch/entscheid/vd_findinfo_D_cision___2014___1016</w:t>
      </w:r>
    </w:p>
    <w:p>
      <w:r>
        <w:t>FR: VD_FINDINFO Décision / 2014 / 1016 du 21 novembre 2014</w:t>
      </w:r>
    </w:p>
    <w:p>
      <w:r>
        <w:t>IT: VD_FINDINFO Décision / 2014 / 1016 del 21 novembre 2014</w:t>
      </w:r>
    </w:p>
    <w:p>
      <w:pPr>
        <w:pStyle w:val="Heading2"/>
      </w:pPr>
      <w:r>
        <w:t>Regeste</w:t>
      </w:r>
    </w:p>
    <w:p>
      <w:r>
        <w:t>DÉTENTION PROVISOIRE, RISQUE DE RÉCIDIVE | 221 al. 1 let. c CPP (CH), 228 CPP (CH), 393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w:t>
      </w:r>
    </w:p>
    <w:p>
      <w:r>
        <w:rPr>
          <w:b/>
        </w:rPr>
        <w:t>E. 2</w:t>
      </w:r>
    </w:p>
    <w:p>
      <w:r>
        <w:t>Le recourant conteste les motifs de détention retenus par le Tribunal des mesures de contrainte, en particulier le risque de réitération. Il soutient que la mise en œuvre d'un traitement ambulatoire, sur les plans addictologique et psychiatrique, constituerait quoi qu'il en soit une mesure de substitution adéquate propre à écarter ce risque. Le recourant conteste aussi l'existence de toute risque de fuite dans le cas particulier.</w:t>
      </w:r>
    </w:p>
    <w:p>
      <w:r>
        <w:rPr>
          <w:b/>
        </w:rPr>
        <w:t>E. 2.1</w:t>
      </w:r>
    </w:p>
    <w:p>
      <w:r>
        <w:t>Selon l’art. 221 al. 1 CPP, la détention provisoire ne peut être ordonnée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Selon l’art. 228 CPP, le prévenu peut en principe présenter en tout temps, par écrit ou oralement par mention au procès-verbal, une demande de mise en liberté au ministère public (al. 1); si celui-ci n'entend pas donner une suite favorable à la demande, il la transmet au tribunal des mesures de contrainte au plus tard dans les trois jours à compter de sa réception, en y joignant une prise de position motivée (al. 2, 2e phrase).</w:t>
      </w:r>
    </w:p>
    <w:p>
      <w:r>
        <w:rPr>
          <w:b/>
        </w:rPr>
        <w:t>E. 2.2</w:t>
      </w:r>
    </w:p>
    <w:p>
      <w:r>
        <w:t>Dans la présente procédure de recours, D.________ ne conteste pas l'existence de soupçons suffisants pour justifier la détention provisoire. Il a du reste, dans l'ensemble, admis les faits qui lui sont reprochés (cf. sur ce point, notamment, les déterminations du prévenu du 21 août 2014 sur la demande de prolongation de la détention provisoire formulée le 19 août 2014 par le procureur). D.________ a de plus été retrouvé dans l'appartement où s'était déroulé le crime litigieux, ensanglanté et tenant des propos incompréhensibles (P. 96/1).</w:t>
      </w:r>
    </w:p>
    <w:p>
      <w:r>
        <w:rPr>
          <w:b/>
        </w:rPr>
        <w:t>E. 2.3</w:t>
      </w:r>
    </w:p>
    <w:p>
      <w:r>
        <w:t>Le premier juge se fonde sur le risque de récidive (art. 221 al. 1 let. c CPP) pour refuser la mise en liberté de D.________.</w:t>
      </w:r>
    </w:p>
    <w:p>
      <w:r>
        <w:rPr>
          <w:b/>
        </w:rPr>
        <w:t>E. 2.3.1</w:t>
      </w:r>
    </w:p>
    <w:p>
      <w:r>
        <w:t>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Kuhn/Jeanneret (éd.), op. cit., n. 20 ad art. 221 CPP). La prévention du risque de récidive doit permettre de faire prévaloir l'intérêt à la sécurité publique sur la liberté personnelle du prévenu (ATF 137 IV 13 c. 4.5). La jurisprudence se montre moins sévère dans l'exigence de vraisemblance lorsqu'il s'agit de délits de violence graves, car le risque à faire courir aux victimes potentielles est alors considéré comme trop important; en pareil cas, il convient de tenir compte de l'état psychique du prévenu, de son imprévisibilité et de son agressivité (ATF 123 I 268 c. 2e).</w:t>
      </w:r>
    </w:p>
    <w:p>
      <w:r>
        <w:rPr>
          <w:b/>
        </w:rPr>
        <w:t>E. 2.3.2</w:t>
      </w:r>
    </w:p>
    <w:p>
      <w:r>
        <w:t>En l'espèce, si, dans leur rapport du 10 septembre 2014, les experts ont conclu que le risque de récidive apparaissait faible, ils ont également relevé que le risque de trouble du comportement en lien avec les conséquences psychiques des substances psycho-actives, cocaïne notamment, pourrait exister en cas de reprise de la consommation. Or, à ce jour, le recourant n'est pas complètement abstinent en ce sens qu'il prend toujours de la méthadone (cf. PV aud. du 7 novembre 2014, l. 57). Ses projets en cas de libération ne sont pour le surplus guère étoffés: il souhaite vivre auprès de sa mère, mettre de l'ordre dans ses affaires et s'occuper de son chien. Il n'a pas d'emploi. Il semble par ailleurs avoir de nombreuses dettes (cf. PV aud précité, l. 58). Une telle situation comporte le risque concret que D.________ reprenne sa consommation de produits stupéfiants une fois remis en liberté et se retrouve ainsi confronté aux troubles qui l'ont conduit à commettre l'irréparable. Au demeurant, l'importance des biens à protéger (vie, intégrité corporelle) justifie d'observer une grande prudence dans la pesée des intérêts en présence. Au vu des considérations qui précèdent, c'est donc à bon droit que le Tribunal des mesures de contrainte a retenu que le risque de réitération demeurait concret dans le cas particulier. Les mesures de substitution proposées sont insuffisantes pour parer au risque de récidive retenu dès lors que le suivi d'un traitement ne supprimerait pas le risque d'une rechute dans la consommation. Il est à cet égard utile de rappeler que le recourant était déjà suivi depuis 2010 pour des problèmes d'addiction lorsque les faits se sont produits (cf. P. 125).</w:t>
      </w:r>
    </w:p>
    <w:p>
      <w:r>
        <w:rPr>
          <w:b/>
        </w:rPr>
        <w:t>E. 2.4</w:t>
      </w:r>
    </w:p>
    <w:p>
      <w:r>
        <w:t>La détention provisoire étant justifiée par le risque de réitération, il n'est pas nécessaire de trancher la question de l'existence du risque de fuite évoqué par le procureur. En effet, les conditions fixées à l'art. 221 al. 1 let. a à c CPP sont des conditions alternatives et, partant, la réalisation d'une seule cause suffit (TF 1B_249/2011 du</w:t>
      </w:r>
    </w:p>
    <w:p>
      <w:r>
        <w:rPr>
          <w:b/>
        </w:rPr>
        <w:t>E. 2.5</w:t>
      </w:r>
    </w:p>
    <w:p>
      <w:r>
        <w:t>La détention provisoire doit encore être conforme au principe de la proportionnalité (art. 212 al. 3 CPP). En l’espèce, compte tenu de l’infraction faisant l'objet de l'instruction, les quelque quatorze mois et demi de détention subis à ce jour par D.________ demeurent proportionnés à la peine concrètement encourue en cas de condamnation. 3. En définitive, le recours doit être rejeté et l'ordonnance du 7 novembre 2014 confirmée. Les frais de la procédure de recours, constitués en l’espèce de l’émolument d'arrêt, par 880 fr. (art. 20 al. 1 TFIP  [Tarif des frais de procédure et indemnités en matière pénale du 28 septembre 2010; RSV 312.03.]), et des frais imputables à la défense d’office (art. 422 al. 1 et 2 let. a CPP), fixés à 750 fr., plus la TVA par 60 fr., soit au total 810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7 novembre 2014 est confirmée. III . L'indemnité due au défenseur d'office de D.________ est fixée à 810 fr. (huit cent dix francs). IV. Les frais d'arrêt, par 880 fr. (huit cent huitante francs), ainsi que l'indemnité due au défenseur d'office de D.________, par 810 fr. (huit cent dix francs), sont mis à la charge de ce dernier. V. Le remboursement à l'Etat de l'indemnité allouée au chiffre III ci-dessus sera exigible pour autant que la situation économique de D.________ se soit améliorée. VI. Le présent arrêt est exécutoire. Le président :               La greffière : Du L'arrêt qui précède, dont la rédaction a été approuvée à huis clos, est notifié, par l'envoi d'une copie complète, à : - Mme Aline Bonard, avocate (pour D.________), - Ministère public central, et communiqué à : - M. le Président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7</w:t>
      </w:r>
    </w:p>
    <w:p>
      <w:r>
        <w:t>juin 2011 c.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