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1011 vom 9. September 2014</w:t>
      </w:r>
    </w:p>
    <w:p>
      <w:r>
        <w:t>VD Tribunal cantonal, 2014-09-09, FR</w:t>
      </w:r>
    </w:p>
    <w:p>
      <w:r>
        <w:rPr>
          <w:b/>
        </w:rPr>
        <w:t xml:space="preserve">Quelle: </w:t>
      </w:r>
      <w:r>
        <w:t>https://mcp.opencaselaw.ch/entscheid/vd_findinfo_D_cision___2014___1011</w:t>
      </w:r>
    </w:p>
    <w:p>
      <w:r>
        <w:t>FR: VD_FINDINFO Décision / 2014 / 1011 du 9 septembre 2014</w:t>
      </w:r>
    </w:p>
    <w:p>
      <w:r>
        <w:t>IT: VD_FINDINFO Décision / 2014 / 1011 del 9 settembre 2014</w:t>
      </w:r>
    </w:p>
    <w:p>
      <w:pPr>
        <w:pStyle w:val="Heading2"/>
      </w:pPr>
      <w:r>
        <w:t>Regeste</w:t>
      </w:r>
    </w:p>
    <w:p>
      <w:r>
        <w:t>ABUS DE CONFIANCE, NON-LIEU | 138 CP, 310 CPP (CH)</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RS 312.0) dans les dix jours devant l’autorité de recours (art. 310 al. 2, 322 al. 2 et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Interjeté dans le délai légal auprès de l’autorité compétente par une partie plaignante, qui a la qualité pour recourir (cf. art. 382 al. 1 CPP), le recours est recevable.</w:t>
      </w:r>
    </w:p>
    <w:p>
      <w:r>
        <w:rPr>
          <w:b/>
        </w:rPr>
        <w:t>E. 2</w:t>
      </w:r>
    </w:p>
    <w:p>
      <w:r>
        <w:t>Conformément à l'art. 310 al. 1 let. a CPP, le ministère public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TF 1B_67/2012 du 29 mai 2012 c. 2.2).</w:t>
      </w:r>
    </w:p>
    <w:p>
      <w:r>
        <w:rPr>
          <w:b/>
        </w:rPr>
        <w:t>E. 3.1</w:t>
      </w:r>
    </w:p>
    <w:p>
      <w:r>
        <w:t>En vertu de l’art. 138 ch. 1 CP, se rend coupable d’abus de confiance celui qui, pour se procurer ou procurer à un tiers un enrichissement illégitime, se sera approprié une chose mobilière appartenant à autrui et qui lui avait été confiée (al. 1) ou celui qui, sans droit, aura employé à son profit ou au profit d'un tiers des valeurs patrimoniales qui lui avaient été confiées (al. 2). L'infraction suppose donc l'existence d'une chose mobilière appartenant à autrui. Une autre personne que l'auteur doit avoir un droit de propriété sur la chose, même si ce droit n'est pas exclusif. 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(ATF 133 IV 21 c. 6.2 ; ATF 120 IV 276 c. 2). Est ainsi caractéristique de l'abus de confiance au sens de cette disposition le comportement par lequel l'auteur démontre clairement sa volonté de ne pas respecter les droits de celui qui lui fait confiance (ATF 129 IV 257 c. 2.1 et les arrêts cités). Contrairement au voleur, qui soustrait la chose (bris de possession), l'auteur de l'abus de confiance a la maîtrise de la chose et se l'approprie, en violation du rapport de confiance. Toute atteinte au patrimoine d’une société, même commis par un actionnaire unique, doit être considérée comme une atteinte au patrimoine d’un tiers (ATF 117 IV 259 c. 3b ; ATF 97 IV 10 c. 4). Du point de vue subjectif, l'auteur doit avoir agi intentionnellement et dans un dessein d'enrichissement illégitime.</w:t>
      </w:r>
    </w:p>
    <w:p>
      <w:r>
        <w:rPr>
          <w:b/>
        </w:rPr>
        <w:t>E. 3.2</w:t>
      </w:r>
    </w:p>
    <w:p>
      <w:r>
        <w:t>En l’espèce, le véhicule de marque BMW X3, propriété de A.________Sàrl (P. 5/2 et 5/3), a été mis à la disposition de O.________ en sa qualité d’employé afin qu’il effectue les déplacements professionnels exigés par l’exercice de ses fonctions (cf. article 8, P. 7/2). Contrairement à ce que soutient le Ministère public, O.________ aurait dû restituer le véhicule mis à sa disposition à la fin des rapports de travail intervenue en juillet 2013, quand bien même le contrat de travail ne le prévoyait pas expressément. En effet, selon l’art. 339a CO, au moment où le contrat prend fin, les parties se rendent tout ce qu’elles se sont remis pour la durée du contrat. Le fait que O.________ soit associé d’A.________Sàrl n'y change rien puisque c'est la société elle-même qui est propriétaire de la BMW X3 (cf. 3.1 supra). En ne restituant pas le véhicule mis à sa disposition, le prévenu porte ainsi atteinte au patrimoine de la recourante. Partant, les éléments constitutifs objectifs de l’infraction d’abus de confiance, à savoir l’appropriation d’une chose mobilière confiée à autrui, paraissent réalisés. Le Ministère public devra ouvrir une instruction et procéder aux mesures d’instruction nécessaires avant de rendre une nouvelle décision. Il devra en particulier examiner le dessein d’enrichissement illégitime de O.________ dans la mesure où il semble invoquer une compensation (P. 7/5 et 7/6).</w:t>
      </w:r>
    </w:p>
    <w:p>
      <w:r>
        <w:rPr>
          <w:b/>
        </w:rPr>
        <w:t>E. 4</w:t>
      </w:r>
    </w:p>
    <w:p>
      <w:r>
        <w:t>Il résulte de ce qui précède que le recours doit être admis, l’ordonnance de non-entrée en matière du 5 août 2014 annulée et le dossier de la cause renvoyé au Ministère public pour qu’il procède dans le sens des considérants. La recourante obtenant gain de cause, les frais d'arrêt, par 550 fr. (art. 20 al. 1 TFIP [Tarif des frais de procédure et indemnités en matière pénale du 28 septembre 2010; RSV 312.03.1]), seront laissés à la charge de l'Etat (art. 423 al. 1 CPP ). Par ces motifs, la Chambre des recours pénale prononce : I. Le recours est admis. II. L’ordonnance du 5 août 2014 est annulée et le dossier de la cause est renvoyé au Ministère public de l’arrondissement de La Côte pour qu'il procède dans le sens des considérants. III. Les frais d'arrêt, par 550 fr. (cinq cent cinquante francs), sont laissés à la charge de l'Etat. IV. Le présent arrêt est exécutoire. Le président :               La greffière : Du L'arrêt qui précède, dont la rédaction a été approuvée à huis clos, est notifié, par l'envoi d'une copie complète, à : - M. Nicolas Gillard, avocat (pour A.________Sàrl),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