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1010 vom 20. November 2014</w:t>
      </w:r>
    </w:p>
    <w:p>
      <w:r>
        <w:t>VD Tribunal cantonal, 2014-11-20, FR</w:t>
      </w:r>
    </w:p>
    <w:p>
      <w:r>
        <w:rPr>
          <w:b/>
        </w:rPr>
        <w:t xml:space="preserve">Quelle: </w:t>
      </w:r>
      <w:r>
        <w:t>https://mcp.opencaselaw.ch/entscheid/vd_findinfo_D_cision___2014___1010</w:t>
      </w:r>
    </w:p>
    <w:p>
      <w:r>
        <w:t>FR: VD_FINDINFO Décision / 2014 / 1010 du 20 novembre 2014</w:t>
      </w:r>
    </w:p>
    <w:p>
      <w:r>
        <w:t>IT: VD_FINDINFO Décision / 2014 / 1010 del 20 novembre 2014</w:t>
      </w:r>
    </w:p>
    <w:p>
      <w:pPr>
        <w:pStyle w:val="Heading2"/>
      </w:pPr>
      <w:r>
        <w:t>Regeste</w:t>
      </w:r>
    </w:p>
    <w:p>
      <w:r>
        <w:t>RÉCUSATION, DEMANDE ADRESSÉE À L'AUTORITÉ, REJET DE LA DEMANDE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B.________ à l’encontre du Procureur Z.________ (art. 13 LVCPP [loi d’introduction du code de procédure pénale suisse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w:t>
      </w:r>
    </w:p>
    <w:p>
      <w:r>
        <w:rPr>
          <w:b/>
        </w:rPr>
        <w:t>E. 2.2</w:t>
      </w:r>
    </w:p>
    <w:p>
      <w:r>
        <w:t>En l’espèce, le requérant fait au Procureur Z.________ le reproche de pas être « fiable », d’être « dépendant », voire de « rejeter toutes les affaires qui [le] dérang[ent] ». Il n’invoque toutefois par là aucun motif de récusation valable au sens de l’art. 56 CPP. Sa demande de récusation consiste, tout au plus, en quelques propos lacunaires rédigés à la main à la fois sur l’ordonnance de non-entrée en matière du 29 octobre 2014 et sur la copie du mandat de comparution du 3 novembre 2014 (cf. P. 8/1), propos qui sont d’ailleurs directement adressés au magistrat en cause. Les allégations du requérant, guère motivées, ne reposent ainsi sur aucune circonstance concrète, constatée objectivement. Dès lors, on ne discerne pas en quoi la manière de procéder du Procureur impliquerait une prévention de sa part. On relèvera en outre que les parties à une procédure judiciaire doivent contester les décisions qu'elles estiment mal fondées par le biais des procédures de recours prévues par la loi (cf. TF 1B_105/2013 précité c. 2.2), ce que le requérant n’a manifestement pas fait en ce qui concerne l’ordonnance de non-entrée en matière du 29 octobre 2014, étant rappelé qu’une décision défavorable à une partie ne saurait emporter prévention en soi. Enfin, il n’y a pas davantage matière à récusation du fait que le Procureur intervienne dans différentes affaires concernant le requérant dans la mesure où une telle manière de faire est conforme à une administration rationnelle de la justice (cf. TF 1B_415/2011 du 25 octobre 2011 c. 2.2). Pour le surplus, l’examen du dossier ne révèle pas d’éléments susceptibles de démontrer une quelconque prévention du Procureur Z.________. Il s’ensuit qu’aucun motif de récusation sens de l'art. 56 let. f CPP n'est réalisé dans le présent cas. 3. En définitive, mal fondée, la demande de récusation présentée le 11 novembre 2014 par B.________ doit être rejetée. Les frais de procédure, constitués en l’espèce de l’émolument de décision, par 660 fr. (art. 20 al. 1 TFIP [tarif des frais de procédure et indemnités en matière pénale du 28 septembre 2010 ; RSV 312.03.1]), seront mis à la charge du requérant (art. 59 al. 4 CPP). Par ces motifs, la Chambre des recours pénale prononce : I. La demande de récusation présentée le 11 novembre 2014 par B.________ à l’encontre du Procureur Z.________ est rejetée. II. Les frais de la présente décision, par 660 fr. (six cent soixante francs), sont mis à la charge du requérant. III. La présente décision est exécutoire. Le président : La greffière : Du La décision qui précède, dont la rédaction a été approuvée à huis clos, est notifiée, par l'envoi d'une copie complète, à : - M. B.________,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précité c. 2.1 ; TF 1B_365/2009 du 22 mars 2010 c. 3.3) ou un refus d'administrer une preuve (ATF 116 Ia 135 ; Verniory, in : Kuhn/Jeanneret, Commentaire romand, Code de procédure pénale suisse, Bâle 2011, n. 35 ad art. 56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