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1007 vom 19. November 2014</w:t>
      </w:r>
    </w:p>
    <w:p>
      <w:r>
        <w:t>VD Tribunal cantonal, 2014-11-19, FR</w:t>
      </w:r>
    </w:p>
    <w:p>
      <w:r>
        <w:rPr>
          <w:b/>
        </w:rPr>
        <w:t xml:space="preserve">Quelle: </w:t>
      </w:r>
      <w:r>
        <w:t>https://mcp.opencaselaw.ch/entscheid/vd_findinfo_D_cision___2014___1007</w:t>
      </w:r>
    </w:p>
    <w:p>
      <w:r>
        <w:t>FR: VD_FINDINFO Décision / 2014 / 1007 du 19 novembre 2014</w:t>
      </w:r>
    </w:p>
    <w:p>
      <w:r>
        <w:t>IT: VD_FINDINFO Décision / 2014 / 1007 del 19 novembre 2014</w:t>
      </w:r>
    </w:p>
    <w:p>
      <w:pPr>
        <w:pStyle w:val="Heading2"/>
      </w:pPr>
      <w:r>
        <w:t>Regeste</w:t>
      </w:r>
    </w:p>
    <w:p>
      <w:r>
        <w:t>RÉCUSATION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M.________ à l'encontre du Procureur A.________ (art. 13 LVCPP [loi d’introduction du code de procédure pénale suisse; RSV 312.01]).</w:t>
      </w:r>
    </w:p>
    <w:p>
      <w:r>
        <w:rPr>
          <w:b/>
        </w:rPr>
        <w:t>E. 1.2</w:t>
      </w:r>
    </w:p>
    <w:p>
      <w:r>
        <w:t>La question de savoir si la requête de récusation a été déposée en temps utile doit être tranchée d'office avant tout examen des moyens invoqués.</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Kuhn/Jeanneret [éd.], Code de procédure pénale suisse, Commentaire romand, Bâle 2011, n. 8 ad art. 58 CPP; Boog, in: Niggli/Heer/Wiprächtiger (éd.), Basler Kommentar, Schweizerische Strafprozessordnung, Jugendstrafprozessordnung, Bâle 2011, n. 5 ad art. 58 CPP et les arrêts cités).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op. cit., n. 7 ad art. 58 CPP) et a pour but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w:t>
      </w:r>
    </w:p>
    <w:p>
      <w:r>
        <w:rPr>
          <w:b/>
        </w:rPr>
        <w:t>E. 1.2.2</w:t>
      </w:r>
    </w:p>
    <w:p>
      <w:r>
        <w:t>En l’espèce, la requérante motive sa demande de récusation par le fait que le procureur qui intervient aux débats est celui qui, avant de dresser l’acte d’accusation à l’encontre des prévenus sur instruction de la cour de céans, a rendu une ordonnance de classement en faveur de ces derniers, laquelle serait très péremptoire. Cela étant, dans son acte d’accusation du 19 juin 2014, notifié notamment à M.________ personnellement ainsi qu’au conseil juridique gratuit de cette dernière, le Procureur A.________ a indiqué qu’il interviendrait aux débats. Dès lors que cet acte d’accusation remonte à près de cinq mois, la demande de récusation est tardive et doit être considérée comme irrecevable. Cela étant, même si la demande de récusation devait être considérée comme déposée dans les délais légaux, elle devrait être rejetée pour les motifs exposés ci-après.</w:t>
      </w:r>
    </w:p>
    <w:p>
      <w:r>
        <w:rPr>
          <w:b/>
        </w:rPr>
        <w:t>E. 2.1</w:t>
      </w:r>
    </w:p>
    <w:p>
      <w:r>
        <w:t>La requérante relève d’abord que dans son ordonnance de classement du 15 janvier 2014, le procureur a en substance retenu que la plainte de M.________ était mensongère et téméraire et que celle-ci avait agi de façon injustifiée et gratuite. Elle relève ensuite qu’invité à se déterminer sur le recours déposé contre cette ordonnance, le procureur a indiqué que si la cause devait être renvoyée devant un tribunal de première instance, ce dernier ne pourrait qu’acquitter les prévenus, puisqu’il n’existe pas de doutes quant au déroulement des faits ni quant à l’issue de la procédure. La requérante soutient qu’au vu des propos du procureur, respectivement de la position adoptée à son encontre, celui-ci ne serait pas capable de revoir sa position et de reprendre la cause en faisant abstraction des opinions précédemment émises.</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Elle correspond à la garantie d'un tribunal indépendant et impartial instituée par les art. 30 Cst. et 6 CEDH qui permet d'exiger la récusation d'un magistrat dont la situation ou le comportement est de nature à faire naître un doute sur son impartialité.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 2.1 et les arrêts cités).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(arrêt précité, c. 2.2; cf. aussi Message du Conseil fédéral relatif à l'unification du droit de la procédure pénale du 21 décembre 2005, FF 2006 pp. 1057 ss, spéc. 1079).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précité, c. 2.2.1 et les arrêts cit.).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Dans ce cadre, ni les art. 29 et 30 Cst., ni l'art. 6 par. 1 CEDH ne confèrent au prévenu une protection particulière lui permettant de se plaindre de l'attitude du ministère public et des opinions exprimées par celui-ci durant les débats. La partie plaignante ne saurait, elle non plus, faire grief au ministère public d'exprimer ses convictions lors des débats, voire même de renoncer à l'accusation s'il estime que celle-ci ne repose plus sur des éléments suffisants. Le ministère public représente en effet des intérêts distincts de ceux de la partie plaignante, qu'il n'a pas vocation à défendre (arrêt précité, c. 2.2.2 et les réf. cit.).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(arrêt précité, c. 2.3 et les arrêts cités).</w:t>
      </w:r>
    </w:p>
    <w:p>
      <w:r>
        <w:rPr>
          <w:b/>
        </w:rPr>
        <w:t>E. 2.3</w:t>
      </w:r>
    </w:p>
    <w:p>
      <w:r>
        <w:t>En l’espèce, on ne saurait comparer le cas particulier à celui décrit dans l’arrêt précité publié aux ATF 138 IV 142. En effet, dans cet arrêt, le Tribunal fédéral a relevé que le procureur concerné avait rendu une ordonnance de classement très péremptoire, par laquelle il avait en outre écarté pas moins de dix-sept offres de preuves, et qu’il avait également, lors de la procédure de recours devant le Tribunal fédéral, précisé, dans ses déterminations, qu'il était "difficile d'imaginer un Procureur, convaincu de l'innocence du prévenu, le déférer au tribunal par acte d'accusation pour ensuite demander sa libération". Les juges fédéraux ont donc considéré que compte tenu de ces refus d'instruire, des motifs retenus dans l'ordonnance de classement et des déclarations faites ultérieurement, la partie plaignante pouvait à juste titre se plaindre d'une apparence de prévention dans la perspective d'un éventuel complément d'instruction. Or dans le cas particulier, on ne saurait reprocher au Procureur A.________ d’avoir instruit l’affaire uniquement à décharge, au détriment de la partie plaignante. Cette dernière n’a d’ailleurs pas requis de mesures d’instruction complémentaires. En outre, le procureur s’est toujours conformé aux instructions de la cour de céans. Le ton certes péremptoire de son ordonnance de classement ne l’a pas empêché de dresser un acte d’accusation contre les prévenus. Au demeurant, comme le relève le Ministère public, la phase de l'enquête préliminaire et de l'instruction est désormais terminée. La requérante ne saurait dès lors se plaindre, à ce stade de la procédure, de la partialité du procureur. Enfin, il semble que la demande de récusation, qui a été déposée deux jours avant l’audience de jugement, ait avant tout pour but d’obtenir le report des débats. Ainsi, en l'absence de circonstances objectives qui feraient redouter une activité partiale du procureur, aucun motif de récusation au sens de l'art. 56 CPP n'est réalisé en l'espèce.</w:t>
      </w:r>
    </w:p>
    <w:p>
      <w:r>
        <w:rPr>
          <w:b/>
        </w:rPr>
        <w:t>E. 3</w:t>
      </w:r>
    </w:p>
    <w:p>
      <w:r>
        <w:t>Il résulte de ce qui précède que la demande de récusation présentée le 17 novembre 2014 par M.________ doit être rejetée dans la mesure où elle est recevable (cf. c. 1.2 supra). Les frais de procédure, constitués en l’espèce de l’émolument de décision, par 990 fr. (art. 20 al. 1 TFIP [Tarif des frais de procédure et indemnités en matière pénale du 28 septembre 2010; RSV 312.03.1]), et de l’indemnité allouée au conseil juridique gratuit de la requérante (art. 422 al. 1 et 2 let. a CPP), fixés à 720 fr., plus la TVA par 57 fr. 60, soit un total de 777 fr. 60, seront mis à la charge de cette dernière (art. 59 al. 4 CPP). Le remboursement à l’Etat de l’indemnité allouée au conseil juridique gratuit de la requérante pour la présente procédure de récusation ne sera toutefois exigible que pour autant que la situation économique de cette dernière se soit améliorée (art. 135 al. 4 CPP). Par ces motifs, la Chambre des recours pénale prononce : I. La demande de récusation est rejetée dans la mesure où elle est recevable. II. L’indemnité allouée au conseil juridique gratuit de M.________ est fixée à 777 fr. 60 (sept cent septante-sept francs et soixante centimes). III. Les frais de la présente décision, par 990 fr. (neuf cent nonante francs), ainsi que l’indemnité allouée au conseil juridique gratuit de M.________, par 777 fr. 60 (sept cent septante-sept francs et soixante centimes), sont mis à la charge de cette dernière. IV. Le remboursement à l’Etat de l’indemnité allouée au chiffre II ci-dessus ne sera exigible que pour autant que la situation économique de M.________ se soit améliorée. V. La présente décision est exécutoire. Le président :               La greffière : Du La décision qui précède, dont la rédaction a été approuvée à huis clos, est notifiée, par l'envoi d'une copie complète, à : - Mme Yaël Hayat, avocate (pour M.________), - Mme Antonella Cereghetti Zwahlen, avocate (pour J.________ et crts), - Ministère public central; et communiquée à : ‑ M. le Procureur du Ministère public central, division affaires spéciales, contrôle et mineurs, - Mme la Présidente du Tribunal d’arrondissement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